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8F" w:rsidRPr="00BF2B4A" w:rsidRDefault="00A1638F" w:rsidP="00A1638F">
      <w:pPr>
        <w:pStyle w:val="TableParagraph"/>
        <w:ind w:right="38"/>
        <w:jc w:val="center"/>
        <w:rPr>
          <w:rFonts w:ascii="Garamond" w:hAnsi="Garamond"/>
          <w:b/>
          <w:sz w:val="24"/>
          <w:szCs w:val="24"/>
        </w:rPr>
      </w:pPr>
      <w:r w:rsidRPr="00BF2B4A">
        <w:rPr>
          <w:rFonts w:ascii="Garamond" w:hAnsi="Garamond"/>
          <w:b/>
          <w:sz w:val="24"/>
          <w:szCs w:val="24"/>
        </w:rPr>
        <w:t xml:space="preserve">Action Plan: Responding to Fall 2015 </w:t>
      </w:r>
    </w:p>
    <w:p w:rsidR="00A1638F" w:rsidRDefault="00A1638F" w:rsidP="00A1638F">
      <w:pPr>
        <w:pStyle w:val="TableParagraph"/>
        <w:ind w:right="38"/>
        <w:jc w:val="center"/>
        <w:rPr>
          <w:rFonts w:ascii="Garamond" w:hAnsi="Garamond"/>
          <w:b/>
          <w:sz w:val="24"/>
          <w:szCs w:val="24"/>
        </w:rPr>
      </w:pPr>
      <w:r w:rsidRPr="00BF2B4A">
        <w:rPr>
          <w:rFonts w:ascii="Garamond" w:hAnsi="Garamond"/>
          <w:b/>
          <w:sz w:val="24"/>
          <w:szCs w:val="24"/>
        </w:rPr>
        <w:t xml:space="preserve">General Education Assessment Results </w:t>
      </w:r>
    </w:p>
    <w:p w:rsidR="00E41E55" w:rsidRPr="00BF2B4A" w:rsidRDefault="00B81133" w:rsidP="00E41E55">
      <w:pPr>
        <w:pStyle w:val="TableParagraph"/>
        <w:ind w:right="38"/>
        <w:jc w:val="center"/>
        <w:rPr>
          <w:rFonts w:ascii="Garamond" w:hAnsi="Garamond"/>
          <w:b/>
          <w:sz w:val="24"/>
          <w:szCs w:val="24"/>
        </w:rPr>
      </w:pPr>
      <w:r>
        <w:rPr>
          <w:rFonts w:ascii="Garamond" w:hAnsi="Garamond"/>
          <w:b/>
          <w:sz w:val="24"/>
          <w:szCs w:val="24"/>
        </w:rPr>
        <w:t>October 11</w:t>
      </w:r>
      <w:r w:rsidR="00E41E55" w:rsidRPr="00BF2B4A">
        <w:rPr>
          <w:rFonts w:ascii="Garamond" w:hAnsi="Garamond"/>
          <w:b/>
          <w:sz w:val="24"/>
          <w:szCs w:val="24"/>
        </w:rPr>
        <w:t>, 2016</w:t>
      </w:r>
    </w:p>
    <w:p w:rsidR="00391648" w:rsidRDefault="00391648" w:rsidP="00A1638F">
      <w:pPr>
        <w:pStyle w:val="TableParagraph"/>
        <w:ind w:right="38"/>
        <w:jc w:val="center"/>
        <w:rPr>
          <w:rFonts w:ascii="Garamond" w:hAnsi="Garamond"/>
          <w:b/>
          <w:sz w:val="24"/>
          <w:szCs w:val="24"/>
        </w:rPr>
      </w:pPr>
    </w:p>
    <w:p w:rsidR="00391648" w:rsidRDefault="00391648" w:rsidP="00A1638F">
      <w:pPr>
        <w:pStyle w:val="TableParagraph"/>
        <w:ind w:right="38"/>
        <w:jc w:val="center"/>
        <w:rPr>
          <w:rFonts w:ascii="Garamond" w:hAnsi="Garamond"/>
          <w:b/>
          <w:sz w:val="24"/>
          <w:szCs w:val="24"/>
        </w:rPr>
      </w:pPr>
      <w:r>
        <w:rPr>
          <w:rFonts w:ascii="Garamond" w:hAnsi="Garamond"/>
          <w:b/>
          <w:sz w:val="24"/>
          <w:szCs w:val="24"/>
        </w:rPr>
        <w:t>Joshua Fausty</w:t>
      </w:r>
    </w:p>
    <w:p w:rsidR="00765446" w:rsidRDefault="00765446" w:rsidP="00A1638F">
      <w:pPr>
        <w:pStyle w:val="TableParagraph"/>
        <w:ind w:right="38"/>
        <w:jc w:val="center"/>
        <w:rPr>
          <w:rFonts w:ascii="Garamond" w:hAnsi="Garamond"/>
          <w:b/>
          <w:sz w:val="24"/>
          <w:szCs w:val="24"/>
        </w:rPr>
      </w:pPr>
      <w:r>
        <w:rPr>
          <w:rFonts w:ascii="Garamond" w:hAnsi="Garamond"/>
          <w:b/>
          <w:sz w:val="24"/>
          <w:szCs w:val="24"/>
        </w:rPr>
        <w:t>Professor of English</w:t>
      </w:r>
    </w:p>
    <w:p w:rsidR="00391648" w:rsidRPr="00BF2B4A" w:rsidRDefault="00391648" w:rsidP="00A1638F">
      <w:pPr>
        <w:pStyle w:val="TableParagraph"/>
        <w:ind w:right="38"/>
        <w:jc w:val="center"/>
        <w:rPr>
          <w:rFonts w:ascii="Garamond" w:hAnsi="Garamond"/>
          <w:b/>
          <w:sz w:val="24"/>
          <w:szCs w:val="24"/>
        </w:rPr>
      </w:pPr>
      <w:r>
        <w:rPr>
          <w:rFonts w:ascii="Garamond" w:hAnsi="Garamond"/>
          <w:b/>
          <w:sz w:val="24"/>
          <w:szCs w:val="24"/>
        </w:rPr>
        <w:t>Director of General Education</w:t>
      </w:r>
    </w:p>
    <w:p w:rsidR="00585626" w:rsidRPr="00BF2B4A" w:rsidRDefault="00585626" w:rsidP="00053C05">
      <w:pPr>
        <w:pStyle w:val="TableParagraph"/>
        <w:ind w:right="38"/>
        <w:jc w:val="center"/>
        <w:rPr>
          <w:rFonts w:ascii="Garamond" w:hAnsi="Garamond"/>
          <w:b/>
          <w:sz w:val="24"/>
          <w:szCs w:val="24"/>
        </w:rPr>
      </w:pPr>
    </w:p>
    <w:p w:rsidR="00CC53E0" w:rsidRPr="00BF2B4A" w:rsidRDefault="00F074BB" w:rsidP="00145147">
      <w:pPr>
        <w:pStyle w:val="TableParagraph"/>
        <w:ind w:right="38"/>
        <w:rPr>
          <w:rFonts w:ascii="Garamond" w:hAnsi="Garamond"/>
          <w:b/>
          <w:sz w:val="24"/>
          <w:szCs w:val="24"/>
        </w:rPr>
      </w:pPr>
      <w:r w:rsidRPr="00BF2B4A">
        <w:rPr>
          <w:rFonts w:ascii="Garamond" w:hAnsi="Garamond"/>
          <w:b/>
          <w:sz w:val="24"/>
          <w:szCs w:val="24"/>
        </w:rPr>
        <w:t xml:space="preserve">Fall 2016 </w:t>
      </w:r>
      <w:r w:rsidR="00053C05" w:rsidRPr="00BF2B4A">
        <w:rPr>
          <w:rFonts w:ascii="Garamond" w:hAnsi="Garamond"/>
          <w:b/>
          <w:sz w:val="24"/>
          <w:szCs w:val="24"/>
        </w:rPr>
        <w:t>Action Plan</w:t>
      </w:r>
      <w:r w:rsidR="00145147" w:rsidRPr="00BF2B4A">
        <w:rPr>
          <w:rFonts w:ascii="Garamond" w:hAnsi="Garamond"/>
          <w:b/>
          <w:sz w:val="24"/>
          <w:szCs w:val="24"/>
        </w:rPr>
        <w:t xml:space="preserve"> Goal: </w:t>
      </w:r>
      <w:r w:rsidR="00B66D96">
        <w:rPr>
          <w:rFonts w:ascii="Garamond" w:hAnsi="Garamond"/>
          <w:sz w:val="24"/>
          <w:szCs w:val="24"/>
        </w:rPr>
        <w:t>Increase</w:t>
      </w:r>
      <w:r w:rsidR="0086187D" w:rsidRPr="00BF2B4A">
        <w:rPr>
          <w:rFonts w:ascii="Garamond" w:hAnsi="Garamond"/>
          <w:sz w:val="24"/>
          <w:szCs w:val="24"/>
        </w:rPr>
        <w:t xml:space="preserve"> </w:t>
      </w:r>
      <w:r w:rsidR="00650E1C" w:rsidRPr="00BF2B4A">
        <w:rPr>
          <w:rFonts w:ascii="Garamond" w:hAnsi="Garamond"/>
          <w:sz w:val="24"/>
          <w:szCs w:val="24"/>
        </w:rPr>
        <w:t xml:space="preserve">the </w:t>
      </w:r>
      <w:r w:rsidR="00CC53E0" w:rsidRPr="00BF2B4A">
        <w:rPr>
          <w:rFonts w:ascii="Garamond" w:hAnsi="Garamond"/>
          <w:sz w:val="24"/>
          <w:szCs w:val="24"/>
        </w:rPr>
        <w:t>percent</w:t>
      </w:r>
      <w:r w:rsidR="00040EFE" w:rsidRPr="00BF2B4A">
        <w:rPr>
          <w:rFonts w:ascii="Garamond" w:hAnsi="Garamond"/>
          <w:sz w:val="24"/>
          <w:szCs w:val="24"/>
        </w:rPr>
        <w:t>age</w:t>
      </w:r>
      <w:r w:rsidR="00CC53E0" w:rsidRPr="00BF2B4A">
        <w:rPr>
          <w:rFonts w:ascii="Garamond" w:hAnsi="Garamond"/>
          <w:sz w:val="24"/>
          <w:szCs w:val="24"/>
        </w:rPr>
        <w:t xml:space="preserve"> </w:t>
      </w:r>
      <w:r w:rsidR="00766057" w:rsidRPr="00BF2B4A">
        <w:rPr>
          <w:rFonts w:ascii="Garamond" w:hAnsi="Garamond"/>
          <w:sz w:val="24"/>
          <w:szCs w:val="24"/>
        </w:rPr>
        <w:t xml:space="preserve">of students </w:t>
      </w:r>
      <w:r w:rsidR="00B66D96">
        <w:rPr>
          <w:rFonts w:ascii="Garamond" w:hAnsi="Garamond"/>
          <w:sz w:val="24"/>
          <w:szCs w:val="24"/>
        </w:rPr>
        <w:t xml:space="preserve">meeting </w:t>
      </w:r>
      <w:r w:rsidR="00766057" w:rsidRPr="00BF2B4A">
        <w:rPr>
          <w:rFonts w:ascii="Garamond" w:hAnsi="Garamond"/>
          <w:sz w:val="24"/>
          <w:szCs w:val="24"/>
        </w:rPr>
        <w:t>Tier-l</w:t>
      </w:r>
      <w:r w:rsidR="0086187D" w:rsidRPr="00BF2B4A">
        <w:rPr>
          <w:rFonts w:ascii="Garamond" w:hAnsi="Garamond"/>
          <w:sz w:val="24"/>
          <w:szCs w:val="24"/>
        </w:rPr>
        <w:t xml:space="preserve">evel </w:t>
      </w:r>
      <w:r w:rsidR="006E4382" w:rsidRPr="00BF2B4A">
        <w:rPr>
          <w:rFonts w:ascii="Garamond" w:hAnsi="Garamond"/>
          <w:sz w:val="24"/>
          <w:szCs w:val="24"/>
        </w:rPr>
        <w:t>University-Wide Student L</w:t>
      </w:r>
      <w:r w:rsidR="00766057" w:rsidRPr="00BF2B4A">
        <w:rPr>
          <w:rFonts w:ascii="Garamond" w:hAnsi="Garamond"/>
          <w:sz w:val="24"/>
          <w:szCs w:val="24"/>
        </w:rPr>
        <w:t xml:space="preserve">earning </w:t>
      </w:r>
      <w:r w:rsidR="006E4382" w:rsidRPr="00BF2B4A">
        <w:rPr>
          <w:rFonts w:ascii="Garamond" w:hAnsi="Garamond"/>
          <w:sz w:val="24"/>
          <w:szCs w:val="24"/>
        </w:rPr>
        <w:t>G</w:t>
      </w:r>
      <w:r w:rsidR="00293FDE" w:rsidRPr="00BF2B4A">
        <w:rPr>
          <w:rFonts w:ascii="Garamond" w:hAnsi="Garamond"/>
          <w:sz w:val="24"/>
          <w:szCs w:val="24"/>
        </w:rPr>
        <w:t>oals</w:t>
      </w:r>
      <w:r w:rsidR="00040EFE" w:rsidRPr="00BF2B4A">
        <w:rPr>
          <w:rFonts w:ascii="Garamond" w:hAnsi="Garamond"/>
          <w:sz w:val="24"/>
          <w:szCs w:val="24"/>
        </w:rPr>
        <w:t xml:space="preserve"> </w:t>
      </w:r>
      <w:r w:rsidR="00F030D4" w:rsidRPr="00BF2B4A">
        <w:rPr>
          <w:rFonts w:ascii="Garamond" w:hAnsi="Garamond"/>
          <w:sz w:val="24"/>
          <w:szCs w:val="24"/>
        </w:rPr>
        <w:t xml:space="preserve">on </w:t>
      </w:r>
      <w:r w:rsidR="00040EFE" w:rsidRPr="00BF2B4A">
        <w:rPr>
          <w:rFonts w:ascii="Garamond" w:hAnsi="Garamond"/>
          <w:sz w:val="24"/>
          <w:szCs w:val="24"/>
        </w:rPr>
        <w:t>end-of-semester signature assignments</w:t>
      </w:r>
      <w:r w:rsidR="00F67DF7" w:rsidRPr="00BF2B4A">
        <w:rPr>
          <w:rFonts w:ascii="Garamond" w:hAnsi="Garamond"/>
          <w:sz w:val="24"/>
          <w:szCs w:val="24"/>
        </w:rPr>
        <w:t xml:space="preserve"> </w:t>
      </w:r>
      <w:r w:rsidR="00512361" w:rsidRPr="00BF2B4A">
        <w:rPr>
          <w:rFonts w:ascii="Garamond" w:hAnsi="Garamond"/>
          <w:sz w:val="24"/>
          <w:szCs w:val="24"/>
        </w:rPr>
        <w:t xml:space="preserve">by 10% </w:t>
      </w:r>
      <w:r w:rsidR="00F67DF7" w:rsidRPr="00BF2B4A">
        <w:rPr>
          <w:rFonts w:ascii="Garamond" w:hAnsi="Garamond"/>
          <w:sz w:val="24"/>
          <w:szCs w:val="24"/>
        </w:rPr>
        <w:t xml:space="preserve">over </w:t>
      </w:r>
      <w:r w:rsidR="00512361" w:rsidRPr="00BF2B4A">
        <w:rPr>
          <w:rFonts w:ascii="Garamond" w:hAnsi="Garamond"/>
          <w:sz w:val="24"/>
          <w:szCs w:val="24"/>
        </w:rPr>
        <w:t xml:space="preserve">Fall 2015. </w:t>
      </w:r>
    </w:p>
    <w:p w:rsidR="00672E8A" w:rsidRDefault="00672E8A" w:rsidP="004A5B6A">
      <w:pPr>
        <w:pStyle w:val="TableParagraph"/>
        <w:ind w:right="38"/>
        <w:rPr>
          <w:rFonts w:ascii="Garamond" w:hAnsi="Garamond"/>
          <w:b/>
        </w:rPr>
      </w:pPr>
    </w:p>
    <w:p w:rsidR="00672E8A" w:rsidRPr="00E34DB7" w:rsidRDefault="00672E8A" w:rsidP="00672E8A">
      <w:pPr>
        <w:pStyle w:val="TableParagraph"/>
        <w:ind w:right="38"/>
        <w:jc w:val="center"/>
        <w:rPr>
          <w:rFonts w:ascii="Garamond" w:hAnsi="Garamond"/>
          <w:b/>
          <w:sz w:val="24"/>
          <w:szCs w:val="24"/>
        </w:rPr>
      </w:pPr>
      <w:r w:rsidRPr="00E34DB7">
        <w:rPr>
          <w:rFonts w:ascii="Garamond" w:hAnsi="Garamond"/>
          <w:b/>
          <w:sz w:val="24"/>
          <w:szCs w:val="24"/>
        </w:rPr>
        <w:t>Overview</w:t>
      </w:r>
    </w:p>
    <w:p w:rsidR="005B524F" w:rsidRPr="005B524F" w:rsidRDefault="005B524F" w:rsidP="005B524F">
      <w:pPr>
        <w:jc w:val="center"/>
        <w:rPr>
          <w:b/>
        </w:rPr>
      </w:pPr>
    </w:p>
    <w:tbl>
      <w:tblPr>
        <w:tblW w:w="8711" w:type="dxa"/>
        <w:tblInd w:w="93" w:type="dxa"/>
        <w:tblLayout w:type="fixed"/>
        <w:tblLook w:val="04A0" w:firstRow="1" w:lastRow="0" w:firstColumn="1" w:lastColumn="0" w:noHBand="0" w:noVBand="1"/>
      </w:tblPr>
      <w:tblGrid>
        <w:gridCol w:w="2895"/>
        <w:gridCol w:w="2700"/>
        <w:gridCol w:w="2790"/>
        <w:gridCol w:w="326"/>
      </w:tblGrid>
      <w:tr w:rsidR="005B524F" w:rsidRPr="00D07409" w:rsidTr="00215DF2">
        <w:trPr>
          <w:gridAfter w:val="1"/>
          <w:wAfter w:w="326" w:type="dxa"/>
          <w:trHeight w:val="233"/>
        </w:trPr>
        <w:tc>
          <w:tcPr>
            <w:tcW w:w="83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B524F" w:rsidRPr="00606853" w:rsidRDefault="005B524F" w:rsidP="005B524F">
            <w:pPr>
              <w:jc w:val="center"/>
              <w:rPr>
                <w:rFonts w:eastAsia="Times New Roman" w:cs="Times New Roman"/>
                <w:b/>
                <w:bCs/>
                <w:color w:val="000000"/>
              </w:rPr>
            </w:pPr>
            <w:r w:rsidRPr="00606853">
              <w:rPr>
                <w:rFonts w:eastAsia="Times New Roman" w:cs="Times New Roman"/>
                <w:b/>
                <w:bCs/>
                <w:color w:val="000000"/>
              </w:rPr>
              <w:t>Critical Thinking, Tier 1</w:t>
            </w:r>
          </w:p>
        </w:tc>
      </w:tr>
      <w:tr w:rsidR="00367D73" w:rsidRPr="00D07409" w:rsidTr="004A5B6A">
        <w:trPr>
          <w:gridAfter w:val="1"/>
          <w:wAfter w:w="326" w:type="dxa"/>
          <w:trHeight w:val="35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EB4841" w:rsidRPr="00D07409" w:rsidRDefault="00EB4841" w:rsidP="005B524F">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tcBorders>
              <w:top w:val="nil"/>
              <w:left w:val="nil"/>
              <w:bottom w:val="single" w:sz="4" w:space="0" w:color="auto"/>
              <w:right w:val="single" w:sz="4" w:space="0" w:color="auto"/>
            </w:tcBorders>
            <w:shd w:val="clear" w:color="auto" w:fill="auto"/>
            <w:vAlign w:val="bottom"/>
            <w:hideMark/>
          </w:tcPr>
          <w:p w:rsidR="00994AFA" w:rsidRDefault="00EB4841" w:rsidP="005B524F">
            <w:pPr>
              <w:jc w:val="center"/>
              <w:rPr>
                <w:rFonts w:eastAsia="Times New Roman" w:cs="Times New Roman"/>
                <w:color w:val="000000"/>
                <w:sz w:val="20"/>
                <w:szCs w:val="20"/>
              </w:rPr>
            </w:pPr>
            <w:r w:rsidRPr="00D07409">
              <w:rPr>
                <w:rFonts w:eastAsia="Times New Roman" w:cs="Times New Roman"/>
                <w:color w:val="000000"/>
                <w:sz w:val="20"/>
                <w:szCs w:val="20"/>
              </w:rPr>
              <w:t xml:space="preserve">Tier 1 or Above </w:t>
            </w:r>
          </w:p>
          <w:p w:rsidR="00EB4841" w:rsidRPr="00D07409" w:rsidRDefault="00EB4841" w:rsidP="005B524F">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tcBorders>
              <w:top w:val="nil"/>
              <w:left w:val="nil"/>
              <w:bottom w:val="single" w:sz="4" w:space="0" w:color="auto"/>
              <w:right w:val="single" w:sz="4" w:space="0" w:color="auto"/>
            </w:tcBorders>
            <w:shd w:val="clear" w:color="auto" w:fill="auto"/>
            <w:vAlign w:val="bottom"/>
            <w:hideMark/>
          </w:tcPr>
          <w:p w:rsidR="00EB4841" w:rsidRPr="00D07409" w:rsidRDefault="00EB4841" w:rsidP="00774B96">
            <w:pPr>
              <w:jc w:val="center"/>
              <w:rPr>
                <w:rFonts w:eastAsia="Times New Roman" w:cs="Times New Roman"/>
                <w:color w:val="000000"/>
                <w:sz w:val="20"/>
                <w:szCs w:val="20"/>
              </w:rPr>
            </w:pPr>
            <w:r>
              <w:rPr>
                <w:rFonts w:eastAsia="Times New Roman" w:cs="Times New Roman"/>
                <w:color w:val="000000"/>
                <w:sz w:val="20"/>
                <w:szCs w:val="20"/>
              </w:rPr>
              <w:t xml:space="preserve">Goal for </w:t>
            </w:r>
            <w:r w:rsidR="00774B96">
              <w:rPr>
                <w:rFonts w:eastAsia="Times New Roman" w:cs="Times New Roman"/>
                <w:color w:val="000000"/>
                <w:sz w:val="20"/>
                <w:szCs w:val="20"/>
              </w:rPr>
              <w:t>Fall</w:t>
            </w:r>
            <w:r>
              <w:rPr>
                <w:rFonts w:eastAsia="Times New Roman" w:cs="Times New Roman"/>
                <w:color w:val="000000"/>
                <w:sz w:val="20"/>
                <w:szCs w:val="20"/>
              </w:rPr>
              <w:t xml:space="preserve"> 2016</w:t>
            </w:r>
          </w:p>
        </w:tc>
      </w:tr>
      <w:tr w:rsidR="00367D73" w:rsidRPr="00D07409" w:rsidTr="00215DF2">
        <w:trPr>
          <w:gridAfter w:val="1"/>
          <w:wAfter w:w="326" w:type="dxa"/>
          <w:trHeight w:val="233"/>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EB4841" w:rsidRPr="00D07409" w:rsidRDefault="00EB4841" w:rsidP="005B524F">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tcBorders>
              <w:top w:val="nil"/>
              <w:left w:val="nil"/>
              <w:bottom w:val="single" w:sz="4" w:space="0" w:color="auto"/>
              <w:right w:val="single" w:sz="4" w:space="0" w:color="auto"/>
            </w:tcBorders>
            <w:shd w:val="clear" w:color="auto" w:fill="auto"/>
            <w:noWrap/>
            <w:vAlign w:val="center"/>
            <w:hideMark/>
          </w:tcPr>
          <w:p w:rsidR="00EB4841" w:rsidRPr="00D07409" w:rsidRDefault="00EB4841" w:rsidP="005B524F">
            <w:pPr>
              <w:jc w:val="center"/>
              <w:rPr>
                <w:rFonts w:eastAsia="Times New Roman" w:cs="Times New Roman"/>
                <w:color w:val="000000"/>
                <w:sz w:val="20"/>
                <w:szCs w:val="20"/>
              </w:rPr>
            </w:pPr>
            <w:r w:rsidRPr="00D07409">
              <w:rPr>
                <w:rFonts w:eastAsia="Times New Roman" w:cs="Times New Roman"/>
                <w:color w:val="000000"/>
                <w:sz w:val="20"/>
                <w:szCs w:val="20"/>
              </w:rPr>
              <w:t>58%</w:t>
            </w:r>
          </w:p>
        </w:tc>
        <w:tc>
          <w:tcPr>
            <w:tcW w:w="2790" w:type="dxa"/>
            <w:tcBorders>
              <w:top w:val="nil"/>
              <w:left w:val="nil"/>
              <w:bottom w:val="single" w:sz="4" w:space="0" w:color="auto"/>
              <w:right w:val="single" w:sz="4" w:space="0" w:color="auto"/>
            </w:tcBorders>
            <w:shd w:val="clear" w:color="auto" w:fill="auto"/>
            <w:noWrap/>
            <w:vAlign w:val="center"/>
            <w:hideMark/>
          </w:tcPr>
          <w:p w:rsidR="00EB4841" w:rsidRPr="00D07409" w:rsidRDefault="00EB4841" w:rsidP="005B524F">
            <w:pPr>
              <w:jc w:val="center"/>
              <w:rPr>
                <w:rFonts w:eastAsia="Times New Roman" w:cs="Times New Roman"/>
                <w:color w:val="000000"/>
                <w:sz w:val="20"/>
                <w:szCs w:val="20"/>
              </w:rPr>
            </w:pPr>
            <w:r>
              <w:rPr>
                <w:rFonts w:eastAsia="Times New Roman" w:cs="Times New Roman"/>
                <w:color w:val="000000"/>
                <w:sz w:val="20"/>
                <w:szCs w:val="20"/>
              </w:rPr>
              <w:t>68</w:t>
            </w:r>
            <w:r w:rsidRPr="00D07409">
              <w:rPr>
                <w:rFonts w:eastAsia="Times New Roman" w:cs="Times New Roman"/>
                <w:color w:val="000000"/>
                <w:sz w:val="20"/>
                <w:szCs w:val="20"/>
              </w:rPr>
              <w:t>%</w:t>
            </w:r>
          </w:p>
        </w:tc>
      </w:tr>
      <w:tr w:rsidR="00367D73" w:rsidRPr="00D07409" w:rsidTr="00215DF2">
        <w:trPr>
          <w:trHeight w:val="269"/>
        </w:trPr>
        <w:tc>
          <w:tcPr>
            <w:tcW w:w="2895" w:type="dxa"/>
            <w:tcBorders>
              <w:top w:val="nil"/>
              <w:left w:val="nil"/>
              <w:bottom w:val="nil"/>
              <w:right w:val="nil"/>
            </w:tcBorders>
            <w:shd w:val="clear" w:color="auto" w:fill="auto"/>
            <w:vAlign w:val="bottom"/>
            <w:hideMark/>
          </w:tcPr>
          <w:p w:rsidR="005B524F" w:rsidRPr="00D07409" w:rsidRDefault="005B524F" w:rsidP="005B524F">
            <w:pPr>
              <w:rPr>
                <w:rFonts w:eastAsia="Times New Roman" w:cs="Times New Roman"/>
                <w:color w:val="000000"/>
                <w:sz w:val="20"/>
                <w:szCs w:val="20"/>
              </w:rPr>
            </w:pPr>
          </w:p>
        </w:tc>
        <w:tc>
          <w:tcPr>
            <w:tcW w:w="2700" w:type="dxa"/>
            <w:tcBorders>
              <w:top w:val="nil"/>
              <w:left w:val="nil"/>
              <w:bottom w:val="nil"/>
              <w:right w:val="nil"/>
            </w:tcBorders>
            <w:shd w:val="clear" w:color="auto" w:fill="auto"/>
            <w:noWrap/>
            <w:vAlign w:val="center"/>
            <w:hideMark/>
          </w:tcPr>
          <w:p w:rsidR="005B524F" w:rsidRPr="00D07409" w:rsidRDefault="005B524F" w:rsidP="005B524F">
            <w:pPr>
              <w:jc w:val="center"/>
              <w:rPr>
                <w:rFonts w:eastAsia="Times New Roman" w:cs="Times New Roman"/>
                <w:color w:val="000000"/>
                <w:sz w:val="20"/>
                <w:szCs w:val="20"/>
              </w:rPr>
            </w:pPr>
          </w:p>
        </w:tc>
        <w:tc>
          <w:tcPr>
            <w:tcW w:w="2790" w:type="dxa"/>
            <w:tcBorders>
              <w:top w:val="nil"/>
              <w:left w:val="nil"/>
              <w:bottom w:val="nil"/>
              <w:right w:val="nil"/>
            </w:tcBorders>
            <w:shd w:val="clear" w:color="auto" w:fill="auto"/>
            <w:noWrap/>
            <w:vAlign w:val="center"/>
            <w:hideMark/>
          </w:tcPr>
          <w:p w:rsidR="005B524F" w:rsidRPr="00D07409" w:rsidRDefault="005B524F" w:rsidP="005B524F">
            <w:pPr>
              <w:jc w:val="center"/>
              <w:rPr>
                <w:rFonts w:eastAsia="Times New Roman" w:cs="Times New Roman"/>
                <w:color w:val="000000"/>
                <w:sz w:val="20"/>
                <w:szCs w:val="20"/>
              </w:rPr>
            </w:pPr>
          </w:p>
        </w:tc>
        <w:tc>
          <w:tcPr>
            <w:tcW w:w="326" w:type="dxa"/>
            <w:tcBorders>
              <w:top w:val="nil"/>
              <w:left w:val="nil"/>
              <w:bottom w:val="nil"/>
              <w:right w:val="nil"/>
            </w:tcBorders>
            <w:shd w:val="clear" w:color="auto" w:fill="auto"/>
            <w:noWrap/>
            <w:vAlign w:val="center"/>
            <w:hideMark/>
          </w:tcPr>
          <w:p w:rsidR="005B524F" w:rsidRPr="00D07409" w:rsidRDefault="005B524F" w:rsidP="005B524F">
            <w:pPr>
              <w:jc w:val="center"/>
              <w:rPr>
                <w:rFonts w:eastAsia="Times New Roman" w:cs="Times New Roman"/>
                <w:color w:val="000000"/>
                <w:sz w:val="20"/>
                <w:szCs w:val="20"/>
              </w:rPr>
            </w:pPr>
          </w:p>
        </w:tc>
      </w:tr>
      <w:tr w:rsidR="005B524F" w:rsidRPr="00D07409" w:rsidTr="00215DF2">
        <w:trPr>
          <w:gridAfter w:val="1"/>
          <w:wAfter w:w="326" w:type="dxa"/>
          <w:trHeight w:val="278"/>
        </w:trPr>
        <w:tc>
          <w:tcPr>
            <w:tcW w:w="83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B524F" w:rsidRPr="00606853" w:rsidRDefault="005B524F" w:rsidP="005B524F">
            <w:pPr>
              <w:jc w:val="center"/>
              <w:rPr>
                <w:rFonts w:eastAsia="Times New Roman" w:cs="Times New Roman"/>
                <w:b/>
                <w:bCs/>
                <w:color w:val="000000"/>
              </w:rPr>
            </w:pPr>
            <w:r w:rsidRPr="00606853">
              <w:rPr>
                <w:rFonts w:eastAsia="Times New Roman" w:cs="Times New Roman"/>
                <w:b/>
                <w:bCs/>
                <w:color w:val="000000"/>
              </w:rPr>
              <w:t>Oral Communication, Tier 1</w:t>
            </w:r>
          </w:p>
        </w:tc>
      </w:tr>
      <w:tr w:rsidR="00BE6432" w:rsidRPr="00D07409" w:rsidTr="00E5009E">
        <w:trPr>
          <w:gridAfter w:val="1"/>
          <w:wAfter w:w="326" w:type="dxa"/>
          <w:trHeight w:val="341"/>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BE6432" w:rsidRPr="00D07409" w:rsidRDefault="00BE6432" w:rsidP="005B524F">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tcBorders>
              <w:top w:val="nil"/>
              <w:left w:val="nil"/>
              <w:bottom w:val="single" w:sz="4" w:space="0" w:color="auto"/>
              <w:right w:val="single" w:sz="4" w:space="0" w:color="auto"/>
            </w:tcBorders>
            <w:shd w:val="clear" w:color="auto" w:fill="auto"/>
            <w:vAlign w:val="bottom"/>
            <w:hideMark/>
          </w:tcPr>
          <w:p w:rsidR="00994AFA" w:rsidRDefault="00BE6432" w:rsidP="005B524F">
            <w:pPr>
              <w:jc w:val="center"/>
              <w:rPr>
                <w:rFonts w:eastAsia="Times New Roman" w:cs="Times New Roman"/>
                <w:color w:val="000000"/>
                <w:sz w:val="20"/>
                <w:szCs w:val="20"/>
              </w:rPr>
            </w:pPr>
            <w:r w:rsidRPr="00D07409">
              <w:rPr>
                <w:rFonts w:eastAsia="Times New Roman" w:cs="Times New Roman"/>
                <w:color w:val="000000"/>
                <w:sz w:val="20"/>
                <w:szCs w:val="20"/>
              </w:rPr>
              <w:t xml:space="preserve">Tier 1 or Above </w:t>
            </w:r>
          </w:p>
          <w:p w:rsidR="00BE6432" w:rsidRPr="00D07409" w:rsidRDefault="00994AFA" w:rsidP="005B524F">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tcBorders>
              <w:top w:val="nil"/>
              <w:left w:val="nil"/>
              <w:bottom w:val="single" w:sz="4" w:space="0" w:color="auto"/>
              <w:right w:val="single" w:sz="4" w:space="0" w:color="auto"/>
            </w:tcBorders>
            <w:shd w:val="clear" w:color="auto" w:fill="auto"/>
            <w:vAlign w:val="bottom"/>
            <w:hideMark/>
          </w:tcPr>
          <w:p w:rsidR="0060195A" w:rsidRDefault="0060195A" w:rsidP="005B524F">
            <w:pPr>
              <w:jc w:val="center"/>
              <w:rPr>
                <w:rFonts w:eastAsia="Times New Roman" w:cs="Times New Roman"/>
                <w:color w:val="000000"/>
                <w:sz w:val="20"/>
                <w:szCs w:val="20"/>
              </w:rPr>
            </w:pPr>
            <w:r>
              <w:rPr>
                <w:rFonts w:eastAsia="Times New Roman" w:cs="Times New Roman"/>
                <w:color w:val="000000"/>
                <w:sz w:val="20"/>
                <w:szCs w:val="20"/>
              </w:rPr>
              <w:t xml:space="preserve">Tier 1 or Above </w:t>
            </w:r>
          </w:p>
          <w:p w:rsidR="00BE6432" w:rsidRPr="00D07409" w:rsidRDefault="003705D1" w:rsidP="00774B96">
            <w:pPr>
              <w:jc w:val="center"/>
              <w:rPr>
                <w:rFonts w:eastAsia="Times New Roman" w:cs="Times New Roman"/>
                <w:color w:val="000000"/>
                <w:sz w:val="20"/>
                <w:szCs w:val="20"/>
              </w:rPr>
            </w:pPr>
            <w:r>
              <w:rPr>
                <w:rFonts w:eastAsia="Times New Roman" w:cs="Times New Roman"/>
                <w:color w:val="000000"/>
                <w:sz w:val="20"/>
                <w:szCs w:val="20"/>
              </w:rPr>
              <w:t>(</w:t>
            </w:r>
            <w:r w:rsidR="00BE6432">
              <w:rPr>
                <w:rFonts w:eastAsia="Times New Roman" w:cs="Times New Roman"/>
                <w:color w:val="000000"/>
                <w:sz w:val="20"/>
                <w:szCs w:val="20"/>
              </w:rPr>
              <w:t xml:space="preserve">Goal for </w:t>
            </w:r>
            <w:r w:rsidR="00774B96">
              <w:rPr>
                <w:rFonts w:eastAsia="Times New Roman" w:cs="Times New Roman"/>
                <w:color w:val="000000"/>
                <w:sz w:val="20"/>
                <w:szCs w:val="20"/>
              </w:rPr>
              <w:t>Fall</w:t>
            </w:r>
            <w:r w:rsidR="00BE6432">
              <w:rPr>
                <w:rFonts w:eastAsia="Times New Roman" w:cs="Times New Roman"/>
                <w:color w:val="000000"/>
                <w:sz w:val="20"/>
                <w:szCs w:val="20"/>
              </w:rPr>
              <w:t xml:space="preserve"> 2016</w:t>
            </w:r>
            <w:r>
              <w:rPr>
                <w:rFonts w:eastAsia="Times New Roman" w:cs="Times New Roman"/>
                <w:color w:val="000000"/>
                <w:sz w:val="20"/>
                <w:szCs w:val="20"/>
              </w:rPr>
              <w:t>)</w:t>
            </w:r>
          </w:p>
        </w:tc>
      </w:tr>
      <w:tr w:rsidR="00BE6432" w:rsidRPr="00D07409" w:rsidTr="003B2F88">
        <w:trPr>
          <w:gridAfter w:val="1"/>
          <w:wAfter w:w="326" w:type="dxa"/>
          <w:trHeight w:val="242"/>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BE6432" w:rsidRPr="00D07409" w:rsidRDefault="00BE6432" w:rsidP="005B524F">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tcBorders>
              <w:top w:val="nil"/>
              <w:left w:val="nil"/>
              <w:bottom w:val="single" w:sz="4" w:space="0" w:color="auto"/>
              <w:right w:val="single" w:sz="4" w:space="0" w:color="auto"/>
            </w:tcBorders>
            <w:shd w:val="clear" w:color="auto" w:fill="auto"/>
            <w:noWrap/>
            <w:vAlign w:val="center"/>
            <w:hideMark/>
          </w:tcPr>
          <w:p w:rsidR="00BE6432" w:rsidRPr="00D07409" w:rsidRDefault="00BE6432" w:rsidP="005B524F">
            <w:pPr>
              <w:jc w:val="center"/>
              <w:rPr>
                <w:rFonts w:eastAsia="Times New Roman" w:cs="Times New Roman"/>
                <w:color w:val="000000"/>
                <w:sz w:val="20"/>
                <w:szCs w:val="20"/>
              </w:rPr>
            </w:pPr>
            <w:r w:rsidRPr="00D07409">
              <w:rPr>
                <w:rFonts w:eastAsia="Times New Roman" w:cs="Times New Roman"/>
                <w:color w:val="000000"/>
                <w:sz w:val="20"/>
                <w:szCs w:val="20"/>
              </w:rPr>
              <w:t>60%</w:t>
            </w:r>
          </w:p>
        </w:tc>
        <w:tc>
          <w:tcPr>
            <w:tcW w:w="2790" w:type="dxa"/>
            <w:tcBorders>
              <w:top w:val="nil"/>
              <w:left w:val="nil"/>
              <w:bottom w:val="single" w:sz="4" w:space="0" w:color="auto"/>
              <w:right w:val="single" w:sz="4" w:space="0" w:color="auto"/>
            </w:tcBorders>
            <w:shd w:val="clear" w:color="auto" w:fill="auto"/>
            <w:noWrap/>
            <w:vAlign w:val="center"/>
            <w:hideMark/>
          </w:tcPr>
          <w:p w:rsidR="00BE6432" w:rsidRPr="00D07409" w:rsidRDefault="00BE6432" w:rsidP="005B524F">
            <w:pPr>
              <w:jc w:val="center"/>
              <w:rPr>
                <w:rFonts w:eastAsia="Times New Roman" w:cs="Times New Roman"/>
                <w:color w:val="000000"/>
                <w:sz w:val="20"/>
                <w:szCs w:val="20"/>
              </w:rPr>
            </w:pPr>
            <w:r>
              <w:rPr>
                <w:rFonts w:eastAsia="Times New Roman" w:cs="Times New Roman"/>
                <w:color w:val="000000"/>
                <w:sz w:val="20"/>
                <w:szCs w:val="20"/>
              </w:rPr>
              <w:t>7</w:t>
            </w:r>
            <w:r w:rsidRPr="00D07409">
              <w:rPr>
                <w:rFonts w:eastAsia="Times New Roman" w:cs="Times New Roman"/>
                <w:color w:val="000000"/>
                <w:sz w:val="20"/>
                <w:szCs w:val="20"/>
              </w:rPr>
              <w:t>0%</w:t>
            </w:r>
          </w:p>
        </w:tc>
      </w:tr>
      <w:tr w:rsidR="00367D73" w:rsidRPr="00D07409" w:rsidTr="00E5009E">
        <w:trPr>
          <w:gridAfter w:val="1"/>
          <w:wAfter w:w="326" w:type="dxa"/>
          <w:trHeight w:val="280"/>
        </w:trPr>
        <w:tc>
          <w:tcPr>
            <w:tcW w:w="2895" w:type="dxa"/>
            <w:tcBorders>
              <w:top w:val="nil"/>
              <w:left w:val="nil"/>
              <w:bottom w:val="single" w:sz="4" w:space="0" w:color="auto"/>
              <w:right w:val="nil"/>
            </w:tcBorders>
            <w:shd w:val="clear" w:color="auto" w:fill="auto"/>
            <w:vAlign w:val="bottom"/>
            <w:hideMark/>
          </w:tcPr>
          <w:p w:rsidR="00BE6432" w:rsidRPr="00D07409" w:rsidRDefault="00BE6432" w:rsidP="005B524F">
            <w:pPr>
              <w:rPr>
                <w:rFonts w:eastAsia="Times New Roman" w:cs="Times New Roman"/>
                <w:color w:val="000000"/>
                <w:sz w:val="20"/>
                <w:szCs w:val="20"/>
              </w:rPr>
            </w:pPr>
          </w:p>
        </w:tc>
        <w:tc>
          <w:tcPr>
            <w:tcW w:w="2700" w:type="dxa"/>
            <w:tcBorders>
              <w:top w:val="nil"/>
              <w:left w:val="nil"/>
              <w:bottom w:val="single" w:sz="4" w:space="0" w:color="auto"/>
              <w:right w:val="nil"/>
            </w:tcBorders>
            <w:shd w:val="clear" w:color="auto" w:fill="auto"/>
            <w:noWrap/>
            <w:vAlign w:val="center"/>
            <w:hideMark/>
          </w:tcPr>
          <w:p w:rsidR="00BE6432" w:rsidRPr="00D07409" w:rsidRDefault="00BE6432" w:rsidP="005B524F">
            <w:pPr>
              <w:jc w:val="center"/>
              <w:rPr>
                <w:rFonts w:eastAsia="Times New Roman" w:cs="Times New Roman"/>
                <w:color w:val="000000"/>
                <w:sz w:val="20"/>
                <w:szCs w:val="20"/>
              </w:rPr>
            </w:pPr>
          </w:p>
        </w:tc>
        <w:tc>
          <w:tcPr>
            <w:tcW w:w="2790" w:type="dxa"/>
            <w:tcBorders>
              <w:top w:val="nil"/>
              <w:left w:val="nil"/>
              <w:bottom w:val="single" w:sz="4" w:space="0" w:color="auto"/>
              <w:right w:val="nil"/>
            </w:tcBorders>
            <w:shd w:val="clear" w:color="auto" w:fill="auto"/>
            <w:noWrap/>
            <w:vAlign w:val="center"/>
            <w:hideMark/>
          </w:tcPr>
          <w:p w:rsidR="00BE6432" w:rsidRPr="00D07409" w:rsidRDefault="00BE6432" w:rsidP="005B524F">
            <w:pPr>
              <w:jc w:val="center"/>
              <w:rPr>
                <w:rFonts w:eastAsia="Times New Roman" w:cs="Times New Roman"/>
                <w:color w:val="000000"/>
                <w:sz w:val="20"/>
                <w:szCs w:val="20"/>
              </w:rPr>
            </w:pPr>
          </w:p>
        </w:tc>
      </w:tr>
      <w:tr w:rsidR="00BE6432" w:rsidRPr="00D07409" w:rsidTr="00215DF2">
        <w:trPr>
          <w:gridAfter w:val="1"/>
          <w:wAfter w:w="326" w:type="dxa"/>
          <w:trHeight w:val="242"/>
        </w:trPr>
        <w:tc>
          <w:tcPr>
            <w:tcW w:w="83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6432" w:rsidRPr="00606853" w:rsidRDefault="00BE6432" w:rsidP="004E5297">
            <w:pPr>
              <w:jc w:val="center"/>
              <w:rPr>
                <w:rFonts w:eastAsia="Times New Roman" w:cs="Times New Roman"/>
                <w:b/>
                <w:bCs/>
                <w:color w:val="000000"/>
              </w:rPr>
            </w:pPr>
            <w:r w:rsidRPr="00606853">
              <w:rPr>
                <w:rFonts w:eastAsia="Times New Roman" w:cs="Times New Roman"/>
                <w:b/>
                <w:bCs/>
                <w:color w:val="000000"/>
              </w:rPr>
              <w:t>Written Communication, Tier 1</w:t>
            </w:r>
          </w:p>
        </w:tc>
      </w:tr>
      <w:tr w:rsidR="00BE6432" w:rsidRPr="00D07409" w:rsidTr="00E5009E">
        <w:trPr>
          <w:gridAfter w:val="1"/>
          <w:wAfter w:w="326" w:type="dxa"/>
          <w:trHeight w:val="368"/>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BE6432" w:rsidRPr="00D07409" w:rsidRDefault="00BE6432" w:rsidP="005B524F">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tcBorders>
              <w:top w:val="nil"/>
              <w:left w:val="nil"/>
              <w:bottom w:val="single" w:sz="4" w:space="0" w:color="auto"/>
              <w:right w:val="single" w:sz="4" w:space="0" w:color="auto"/>
            </w:tcBorders>
            <w:shd w:val="clear" w:color="auto" w:fill="auto"/>
            <w:vAlign w:val="bottom"/>
            <w:hideMark/>
          </w:tcPr>
          <w:p w:rsidR="00BE6432" w:rsidRDefault="00BE6432" w:rsidP="005B524F">
            <w:pPr>
              <w:jc w:val="center"/>
              <w:rPr>
                <w:rFonts w:eastAsia="Times New Roman" w:cs="Times New Roman"/>
                <w:color w:val="000000"/>
                <w:sz w:val="20"/>
                <w:szCs w:val="20"/>
              </w:rPr>
            </w:pPr>
            <w:r w:rsidRPr="00D07409">
              <w:rPr>
                <w:rFonts w:eastAsia="Times New Roman" w:cs="Times New Roman"/>
                <w:color w:val="000000"/>
                <w:sz w:val="20"/>
                <w:szCs w:val="20"/>
              </w:rPr>
              <w:t>Tier 1 or Above</w:t>
            </w:r>
          </w:p>
          <w:p w:rsidR="00994AFA" w:rsidRPr="00D07409" w:rsidRDefault="00994AFA" w:rsidP="005B524F">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tcBorders>
              <w:top w:val="nil"/>
              <w:left w:val="nil"/>
              <w:bottom w:val="single" w:sz="4" w:space="0" w:color="auto"/>
              <w:right w:val="single" w:sz="4" w:space="0" w:color="auto"/>
            </w:tcBorders>
            <w:shd w:val="clear" w:color="auto" w:fill="auto"/>
            <w:vAlign w:val="bottom"/>
            <w:hideMark/>
          </w:tcPr>
          <w:p w:rsidR="0060195A" w:rsidRDefault="0060195A" w:rsidP="005B524F">
            <w:pPr>
              <w:jc w:val="center"/>
              <w:rPr>
                <w:rFonts w:eastAsia="Times New Roman" w:cs="Times New Roman"/>
                <w:color w:val="000000"/>
                <w:sz w:val="20"/>
                <w:szCs w:val="20"/>
              </w:rPr>
            </w:pPr>
            <w:r>
              <w:rPr>
                <w:rFonts w:eastAsia="Times New Roman" w:cs="Times New Roman"/>
                <w:color w:val="000000"/>
                <w:sz w:val="20"/>
                <w:szCs w:val="20"/>
              </w:rPr>
              <w:t>Tier 1 or Above</w:t>
            </w:r>
          </w:p>
          <w:p w:rsidR="00BE6432" w:rsidRPr="00D07409" w:rsidRDefault="003705D1" w:rsidP="00774B96">
            <w:pPr>
              <w:jc w:val="center"/>
              <w:rPr>
                <w:rFonts w:eastAsia="Times New Roman" w:cs="Times New Roman"/>
                <w:color w:val="000000"/>
                <w:sz w:val="20"/>
                <w:szCs w:val="20"/>
              </w:rPr>
            </w:pPr>
            <w:r>
              <w:rPr>
                <w:rFonts w:eastAsia="Times New Roman" w:cs="Times New Roman"/>
                <w:color w:val="000000"/>
                <w:sz w:val="20"/>
                <w:szCs w:val="20"/>
              </w:rPr>
              <w:t>(</w:t>
            </w:r>
            <w:r w:rsidR="00BE6432">
              <w:rPr>
                <w:rFonts w:eastAsia="Times New Roman" w:cs="Times New Roman"/>
                <w:color w:val="000000"/>
                <w:sz w:val="20"/>
                <w:szCs w:val="20"/>
              </w:rPr>
              <w:t xml:space="preserve">Goal for </w:t>
            </w:r>
            <w:r w:rsidR="00774B96">
              <w:rPr>
                <w:rFonts w:eastAsia="Times New Roman" w:cs="Times New Roman"/>
                <w:color w:val="000000"/>
                <w:sz w:val="20"/>
                <w:szCs w:val="20"/>
              </w:rPr>
              <w:t>Fall</w:t>
            </w:r>
            <w:r w:rsidR="00BE6432">
              <w:rPr>
                <w:rFonts w:eastAsia="Times New Roman" w:cs="Times New Roman"/>
                <w:color w:val="000000"/>
                <w:sz w:val="20"/>
                <w:szCs w:val="20"/>
              </w:rPr>
              <w:t xml:space="preserve"> 2016</w:t>
            </w:r>
            <w:r>
              <w:rPr>
                <w:rFonts w:eastAsia="Times New Roman" w:cs="Times New Roman"/>
                <w:color w:val="000000"/>
                <w:sz w:val="20"/>
                <w:szCs w:val="20"/>
              </w:rPr>
              <w:t>)</w:t>
            </w:r>
          </w:p>
        </w:tc>
      </w:tr>
      <w:tr w:rsidR="00BE6432" w:rsidRPr="00D07409" w:rsidTr="00215DF2">
        <w:trPr>
          <w:gridAfter w:val="1"/>
          <w:wAfter w:w="326" w:type="dxa"/>
          <w:trHeight w:val="242"/>
        </w:trPr>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432" w:rsidRPr="00D07409" w:rsidRDefault="00BE6432" w:rsidP="005B524F">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BE6432" w:rsidRPr="00D07409" w:rsidRDefault="00BE6432" w:rsidP="005B524F">
            <w:pPr>
              <w:jc w:val="center"/>
              <w:rPr>
                <w:rFonts w:eastAsia="Times New Roman" w:cs="Times New Roman"/>
                <w:color w:val="000000"/>
                <w:sz w:val="20"/>
                <w:szCs w:val="20"/>
              </w:rPr>
            </w:pPr>
            <w:r w:rsidRPr="00D07409">
              <w:rPr>
                <w:rFonts w:eastAsia="Times New Roman" w:cs="Times New Roman"/>
                <w:color w:val="000000"/>
                <w:sz w:val="20"/>
                <w:szCs w:val="20"/>
              </w:rPr>
              <w:t>58%</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BE6432" w:rsidRPr="00D07409" w:rsidRDefault="00BE6432" w:rsidP="005B524F">
            <w:pPr>
              <w:jc w:val="center"/>
              <w:rPr>
                <w:rFonts w:eastAsia="Times New Roman" w:cs="Times New Roman"/>
                <w:color w:val="000000"/>
                <w:sz w:val="20"/>
                <w:szCs w:val="20"/>
              </w:rPr>
            </w:pPr>
            <w:r>
              <w:rPr>
                <w:rFonts w:eastAsia="Times New Roman" w:cs="Times New Roman"/>
                <w:color w:val="000000"/>
                <w:sz w:val="20"/>
                <w:szCs w:val="20"/>
              </w:rPr>
              <w:t>68</w:t>
            </w:r>
            <w:r w:rsidRPr="00D07409">
              <w:rPr>
                <w:rFonts w:eastAsia="Times New Roman" w:cs="Times New Roman"/>
                <w:color w:val="000000"/>
                <w:sz w:val="20"/>
                <w:szCs w:val="20"/>
              </w:rPr>
              <w:t>%</w:t>
            </w:r>
          </w:p>
        </w:tc>
      </w:tr>
    </w:tbl>
    <w:p w:rsidR="005B524F" w:rsidRDefault="005B524F" w:rsidP="005B524F"/>
    <w:tbl>
      <w:tblPr>
        <w:tblW w:w="8385" w:type="dxa"/>
        <w:tblInd w:w="93" w:type="dxa"/>
        <w:tblLayout w:type="fixed"/>
        <w:tblLook w:val="04A0" w:firstRow="1" w:lastRow="0" w:firstColumn="1" w:lastColumn="0" w:noHBand="0" w:noVBand="1"/>
      </w:tblPr>
      <w:tblGrid>
        <w:gridCol w:w="2700"/>
        <w:gridCol w:w="195"/>
        <w:gridCol w:w="2595"/>
        <w:gridCol w:w="105"/>
        <w:gridCol w:w="131"/>
        <w:gridCol w:w="2659"/>
      </w:tblGrid>
      <w:tr w:rsidR="00EB4841" w:rsidRPr="00D07409" w:rsidTr="00215DF2">
        <w:trPr>
          <w:trHeight w:val="215"/>
        </w:trPr>
        <w:tc>
          <w:tcPr>
            <w:tcW w:w="838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4841" w:rsidRPr="00606853" w:rsidRDefault="00EB4841" w:rsidP="00EB4841">
            <w:pPr>
              <w:jc w:val="center"/>
              <w:rPr>
                <w:rFonts w:eastAsia="Times New Roman" w:cs="Times New Roman"/>
                <w:b/>
                <w:bCs/>
                <w:color w:val="000000"/>
              </w:rPr>
            </w:pPr>
            <w:r w:rsidRPr="00606853">
              <w:rPr>
                <w:rFonts w:eastAsia="Times New Roman" w:cs="Times New Roman"/>
                <w:b/>
                <w:bCs/>
                <w:color w:val="000000"/>
              </w:rPr>
              <w:t>Critical Thinking, Tier 2</w:t>
            </w:r>
          </w:p>
        </w:tc>
      </w:tr>
      <w:tr w:rsidR="00BE6432" w:rsidRPr="00D07409" w:rsidTr="00250CA3">
        <w:trPr>
          <w:trHeight w:val="350"/>
        </w:trPr>
        <w:tc>
          <w:tcPr>
            <w:tcW w:w="2895" w:type="dxa"/>
            <w:gridSpan w:val="2"/>
            <w:tcBorders>
              <w:top w:val="nil"/>
              <w:left w:val="single" w:sz="4" w:space="0" w:color="auto"/>
              <w:bottom w:val="single" w:sz="4" w:space="0" w:color="auto"/>
              <w:right w:val="single" w:sz="4" w:space="0" w:color="auto"/>
            </w:tcBorders>
            <w:shd w:val="clear" w:color="auto" w:fill="auto"/>
            <w:vAlign w:val="bottom"/>
            <w:hideMark/>
          </w:tcPr>
          <w:p w:rsidR="00BE6432" w:rsidRPr="00D07409" w:rsidRDefault="00BE6432" w:rsidP="00EB4841">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gridSpan w:val="2"/>
            <w:tcBorders>
              <w:top w:val="nil"/>
              <w:left w:val="nil"/>
              <w:bottom w:val="single" w:sz="4" w:space="0" w:color="auto"/>
              <w:right w:val="single" w:sz="4" w:space="0" w:color="auto"/>
            </w:tcBorders>
            <w:shd w:val="clear" w:color="auto" w:fill="auto"/>
            <w:vAlign w:val="bottom"/>
            <w:hideMark/>
          </w:tcPr>
          <w:p w:rsidR="00BE6432" w:rsidRDefault="00BE6432" w:rsidP="00EB4841">
            <w:pPr>
              <w:jc w:val="center"/>
              <w:rPr>
                <w:rFonts w:eastAsia="Times New Roman" w:cs="Times New Roman"/>
                <w:color w:val="000000"/>
                <w:sz w:val="20"/>
                <w:szCs w:val="20"/>
              </w:rPr>
            </w:pPr>
            <w:r w:rsidRPr="00D07409">
              <w:rPr>
                <w:rFonts w:eastAsia="Times New Roman" w:cs="Times New Roman"/>
                <w:color w:val="000000"/>
                <w:sz w:val="20"/>
                <w:szCs w:val="20"/>
              </w:rPr>
              <w:t xml:space="preserve">Tier 2 or Above </w:t>
            </w:r>
          </w:p>
          <w:p w:rsidR="00994AFA" w:rsidRPr="00D07409" w:rsidRDefault="00994AFA" w:rsidP="00EB4841">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gridSpan w:val="2"/>
            <w:tcBorders>
              <w:top w:val="nil"/>
              <w:left w:val="nil"/>
              <w:bottom w:val="single" w:sz="4" w:space="0" w:color="auto"/>
              <w:right w:val="single" w:sz="4" w:space="0" w:color="auto"/>
            </w:tcBorders>
            <w:shd w:val="clear" w:color="auto" w:fill="auto"/>
            <w:vAlign w:val="bottom"/>
            <w:hideMark/>
          </w:tcPr>
          <w:p w:rsidR="007F037D" w:rsidRDefault="007F037D" w:rsidP="00EB4841">
            <w:pPr>
              <w:jc w:val="center"/>
              <w:rPr>
                <w:rFonts w:eastAsia="Times New Roman" w:cs="Times New Roman"/>
                <w:color w:val="000000"/>
                <w:sz w:val="20"/>
                <w:szCs w:val="20"/>
              </w:rPr>
            </w:pPr>
            <w:r>
              <w:rPr>
                <w:rFonts w:eastAsia="Times New Roman" w:cs="Times New Roman"/>
                <w:color w:val="000000"/>
                <w:sz w:val="20"/>
                <w:szCs w:val="20"/>
              </w:rPr>
              <w:t xml:space="preserve">Tier 2 or Above </w:t>
            </w:r>
          </w:p>
          <w:p w:rsidR="00BE6432" w:rsidRPr="00D07409" w:rsidRDefault="003705D1" w:rsidP="00774B96">
            <w:pPr>
              <w:jc w:val="center"/>
              <w:rPr>
                <w:rFonts w:eastAsia="Times New Roman" w:cs="Times New Roman"/>
                <w:color w:val="000000"/>
                <w:sz w:val="20"/>
                <w:szCs w:val="20"/>
              </w:rPr>
            </w:pPr>
            <w:r>
              <w:rPr>
                <w:rFonts w:eastAsia="Times New Roman" w:cs="Times New Roman"/>
                <w:color w:val="000000"/>
                <w:sz w:val="20"/>
                <w:szCs w:val="20"/>
              </w:rPr>
              <w:t>(</w:t>
            </w:r>
            <w:r w:rsidR="00BE6432">
              <w:rPr>
                <w:rFonts w:eastAsia="Times New Roman" w:cs="Times New Roman"/>
                <w:color w:val="000000"/>
                <w:sz w:val="20"/>
                <w:szCs w:val="20"/>
              </w:rPr>
              <w:t xml:space="preserve">Goal for </w:t>
            </w:r>
            <w:r w:rsidR="00774B96">
              <w:rPr>
                <w:rFonts w:eastAsia="Times New Roman" w:cs="Times New Roman"/>
                <w:color w:val="000000"/>
                <w:sz w:val="20"/>
                <w:szCs w:val="20"/>
              </w:rPr>
              <w:t>Fall</w:t>
            </w:r>
            <w:r w:rsidR="00BE6432">
              <w:rPr>
                <w:rFonts w:eastAsia="Times New Roman" w:cs="Times New Roman"/>
                <w:color w:val="000000"/>
                <w:sz w:val="20"/>
                <w:szCs w:val="20"/>
              </w:rPr>
              <w:t xml:space="preserve"> 2016</w:t>
            </w:r>
            <w:r>
              <w:rPr>
                <w:rFonts w:eastAsia="Times New Roman" w:cs="Times New Roman"/>
                <w:color w:val="000000"/>
                <w:sz w:val="20"/>
                <w:szCs w:val="20"/>
              </w:rPr>
              <w:t>)</w:t>
            </w:r>
          </w:p>
        </w:tc>
      </w:tr>
      <w:tr w:rsidR="00BE6432" w:rsidRPr="00D07409" w:rsidTr="003B2F88">
        <w:trPr>
          <w:trHeight w:val="251"/>
        </w:trPr>
        <w:tc>
          <w:tcPr>
            <w:tcW w:w="2895" w:type="dxa"/>
            <w:gridSpan w:val="2"/>
            <w:tcBorders>
              <w:top w:val="nil"/>
              <w:left w:val="single" w:sz="4" w:space="0" w:color="auto"/>
              <w:bottom w:val="single" w:sz="4" w:space="0" w:color="auto"/>
              <w:right w:val="single" w:sz="4" w:space="0" w:color="auto"/>
            </w:tcBorders>
            <w:shd w:val="clear" w:color="auto" w:fill="auto"/>
            <w:vAlign w:val="center"/>
            <w:hideMark/>
          </w:tcPr>
          <w:p w:rsidR="00BE6432" w:rsidRPr="00D07409" w:rsidRDefault="00BE6432" w:rsidP="00EB4841">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BE6432" w:rsidRPr="00D07409" w:rsidRDefault="00BE6432" w:rsidP="00EB4841">
            <w:pPr>
              <w:jc w:val="center"/>
              <w:rPr>
                <w:rFonts w:eastAsia="Times New Roman" w:cs="Times New Roman"/>
                <w:color w:val="000000"/>
                <w:sz w:val="20"/>
                <w:szCs w:val="20"/>
              </w:rPr>
            </w:pPr>
            <w:r w:rsidRPr="00D07409">
              <w:rPr>
                <w:rFonts w:eastAsia="Times New Roman" w:cs="Times New Roman"/>
                <w:color w:val="000000"/>
                <w:sz w:val="20"/>
                <w:szCs w:val="20"/>
              </w:rPr>
              <w:t>29%</w:t>
            </w:r>
          </w:p>
        </w:tc>
        <w:tc>
          <w:tcPr>
            <w:tcW w:w="2790" w:type="dxa"/>
            <w:gridSpan w:val="2"/>
            <w:tcBorders>
              <w:top w:val="nil"/>
              <w:left w:val="nil"/>
              <w:bottom w:val="single" w:sz="4" w:space="0" w:color="auto"/>
              <w:right w:val="single" w:sz="4" w:space="0" w:color="auto"/>
            </w:tcBorders>
            <w:shd w:val="clear" w:color="auto" w:fill="auto"/>
            <w:noWrap/>
            <w:vAlign w:val="center"/>
            <w:hideMark/>
          </w:tcPr>
          <w:p w:rsidR="00BE6432" w:rsidRPr="00D07409" w:rsidRDefault="00BE6432" w:rsidP="00EB4841">
            <w:pPr>
              <w:jc w:val="center"/>
              <w:rPr>
                <w:rFonts w:eastAsia="Times New Roman" w:cs="Times New Roman"/>
                <w:color w:val="000000"/>
                <w:sz w:val="20"/>
                <w:szCs w:val="20"/>
              </w:rPr>
            </w:pPr>
            <w:r>
              <w:rPr>
                <w:rFonts w:eastAsia="Times New Roman" w:cs="Times New Roman"/>
                <w:color w:val="000000"/>
                <w:sz w:val="20"/>
                <w:szCs w:val="20"/>
              </w:rPr>
              <w:t>39</w:t>
            </w:r>
            <w:r w:rsidRPr="00D07409">
              <w:rPr>
                <w:rFonts w:eastAsia="Times New Roman" w:cs="Times New Roman"/>
                <w:color w:val="000000"/>
                <w:sz w:val="20"/>
                <w:szCs w:val="20"/>
              </w:rPr>
              <w:t>%</w:t>
            </w:r>
          </w:p>
        </w:tc>
      </w:tr>
      <w:tr w:rsidR="004809BE" w:rsidRPr="00D07409" w:rsidTr="00215DF2">
        <w:trPr>
          <w:trHeight w:val="188"/>
        </w:trPr>
        <w:tc>
          <w:tcPr>
            <w:tcW w:w="8385" w:type="dxa"/>
            <w:gridSpan w:val="6"/>
            <w:tcBorders>
              <w:top w:val="single" w:sz="4" w:space="0" w:color="auto"/>
              <w:bottom w:val="single" w:sz="4" w:space="0" w:color="auto"/>
            </w:tcBorders>
            <w:shd w:val="clear" w:color="auto" w:fill="auto"/>
            <w:vAlign w:val="bottom"/>
          </w:tcPr>
          <w:p w:rsidR="004809BE" w:rsidRDefault="004809BE" w:rsidP="004809BE">
            <w:pPr>
              <w:jc w:val="center"/>
              <w:rPr>
                <w:rFonts w:eastAsia="Times New Roman" w:cs="Times New Roman"/>
                <w:b/>
                <w:bCs/>
                <w:color w:val="000000"/>
              </w:rPr>
            </w:pPr>
          </w:p>
        </w:tc>
      </w:tr>
      <w:tr w:rsidR="004809BE" w:rsidRPr="00D07409" w:rsidTr="00215DF2">
        <w:trPr>
          <w:trHeight w:val="215"/>
        </w:trPr>
        <w:tc>
          <w:tcPr>
            <w:tcW w:w="838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809BE" w:rsidRPr="00606853" w:rsidRDefault="004809BE" w:rsidP="004809BE">
            <w:pPr>
              <w:jc w:val="center"/>
              <w:rPr>
                <w:rFonts w:eastAsia="Times New Roman" w:cs="Times New Roman"/>
                <w:b/>
                <w:bCs/>
                <w:color w:val="000000"/>
              </w:rPr>
            </w:pPr>
            <w:r>
              <w:rPr>
                <w:rFonts w:eastAsia="Times New Roman" w:cs="Times New Roman"/>
                <w:b/>
                <w:bCs/>
                <w:color w:val="000000"/>
              </w:rPr>
              <w:t>Oral Communication, Tier 2</w:t>
            </w:r>
          </w:p>
        </w:tc>
      </w:tr>
      <w:tr w:rsidR="004809BE" w:rsidRPr="00D07409" w:rsidTr="00250CA3">
        <w:trPr>
          <w:trHeight w:val="341"/>
        </w:trPr>
        <w:tc>
          <w:tcPr>
            <w:tcW w:w="2895" w:type="dxa"/>
            <w:gridSpan w:val="2"/>
            <w:tcBorders>
              <w:top w:val="nil"/>
              <w:left w:val="single" w:sz="4" w:space="0" w:color="auto"/>
              <w:bottom w:val="single" w:sz="4" w:space="0" w:color="auto"/>
              <w:right w:val="single" w:sz="4" w:space="0" w:color="auto"/>
            </w:tcBorders>
            <w:shd w:val="clear" w:color="auto" w:fill="auto"/>
            <w:vAlign w:val="bottom"/>
            <w:hideMark/>
          </w:tcPr>
          <w:p w:rsidR="004809BE" w:rsidRPr="00D07409" w:rsidRDefault="004809BE" w:rsidP="004809BE">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gridSpan w:val="2"/>
            <w:tcBorders>
              <w:top w:val="nil"/>
              <w:left w:val="nil"/>
              <w:bottom w:val="single" w:sz="4" w:space="0" w:color="auto"/>
              <w:right w:val="single" w:sz="4" w:space="0" w:color="auto"/>
            </w:tcBorders>
            <w:shd w:val="clear" w:color="auto" w:fill="auto"/>
            <w:vAlign w:val="bottom"/>
            <w:hideMark/>
          </w:tcPr>
          <w:p w:rsidR="004809BE" w:rsidRDefault="002D2774" w:rsidP="004809BE">
            <w:pPr>
              <w:jc w:val="center"/>
              <w:rPr>
                <w:rFonts w:eastAsia="Times New Roman" w:cs="Times New Roman"/>
                <w:color w:val="000000"/>
                <w:sz w:val="20"/>
                <w:szCs w:val="20"/>
              </w:rPr>
            </w:pPr>
            <w:r>
              <w:rPr>
                <w:rFonts w:eastAsia="Times New Roman" w:cs="Times New Roman"/>
                <w:color w:val="000000"/>
                <w:sz w:val="20"/>
                <w:szCs w:val="20"/>
              </w:rPr>
              <w:t>Tier 2</w:t>
            </w:r>
            <w:r w:rsidR="004809BE" w:rsidRPr="00D07409">
              <w:rPr>
                <w:rFonts w:eastAsia="Times New Roman" w:cs="Times New Roman"/>
                <w:color w:val="000000"/>
                <w:sz w:val="20"/>
                <w:szCs w:val="20"/>
              </w:rPr>
              <w:t xml:space="preserve"> or Above </w:t>
            </w:r>
          </w:p>
          <w:p w:rsidR="004809BE" w:rsidRPr="00D07409" w:rsidRDefault="004809BE" w:rsidP="004809BE">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gridSpan w:val="2"/>
            <w:tcBorders>
              <w:top w:val="nil"/>
              <w:left w:val="nil"/>
              <w:bottom w:val="single" w:sz="4" w:space="0" w:color="auto"/>
              <w:right w:val="single" w:sz="4" w:space="0" w:color="auto"/>
            </w:tcBorders>
            <w:shd w:val="clear" w:color="auto" w:fill="auto"/>
            <w:vAlign w:val="bottom"/>
            <w:hideMark/>
          </w:tcPr>
          <w:p w:rsidR="007F037D" w:rsidRDefault="007F037D" w:rsidP="007F037D">
            <w:pPr>
              <w:jc w:val="center"/>
              <w:rPr>
                <w:rFonts w:eastAsia="Times New Roman" w:cs="Times New Roman"/>
                <w:color w:val="000000"/>
                <w:sz w:val="20"/>
                <w:szCs w:val="20"/>
              </w:rPr>
            </w:pPr>
            <w:r>
              <w:rPr>
                <w:rFonts w:eastAsia="Times New Roman" w:cs="Times New Roman"/>
                <w:color w:val="000000"/>
                <w:sz w:val="20"/>
                <w:szCs w:val="20"/>
              </w:rPr>
              <w:t>Tier 2</w:t>
            </w:r>
            <w:r w:rsidRPr="00D07409">
              <w:rPr>
                <w:rFonts w:eastAsia="Times New Roman" w:cs="Times New Roman"/>
                <w:color w:val="000000"/>
                <w:sz w:val="20"/>
                <w:szCs w:val="20"/>
              </w:rPr>
              <w:t xml:space="preserve"> or Above </w:t>
            </w:r>
          </w:p>
          <w:p w:rsidR="004809BE" w:rsidRPr="00D07409" w:rsidRDefault="003705D1" w:rsidP="00774B96">
            <w:pPr>
              <w:jc w:val="center"/>
              <w:rPr>
                <w:rFonts w:eastAsia="Times New Roman" w:cs="Times New Roman"/>
                <w:color w:val="000000"/>
                <w:sz w:val="20"/>
                <w:szCs w:val="20"/>
              </w:rPr>
            </w:pPr>
            <w:r>
              <w:rPr>
                <w:rFonts w:eastAsia="Times New Roman" w:cs="Times New Roman"/>
                <w:color w:val="000000"/>
                <w:sz w:val="20"/>
                <w:szCs w:val="20"/>
              </w:rPr>
              <w:t>(</w:t>
            </w:r>
            <w:r w:rsidR="007F037D">
              <w:rPr>
                <w:rFonts w:eastAsia="Times New Roman" w:cs="Times New Roman"/>
                <w:color w:val="000000"/>
                <w:sz w:val="20"/>
                <w:szCs w:val="20"/>
              </w:rPr>
              <w:t>G</w:t>
            </w:r>
            <w:r w:rsidR="004809BE">
              <w:rPr>
                <w:rFonts w:eastAsia="Times New Roman" w:cs="Times New Roman"/>
                <w:color w:val="000000"/>
                <w:sz w:val="20"/>
                <w:szCs w:val="20"/>
              </w:rPr>
              <w:t xml:space="preserve">oal for </w:t>
            </w:r>
            <w:r w:rsidR="00774B96">
              <w:rPr>
                <w:rFonts w:eastAsia="Times New Roman" w:cs="Times New Roman"/>
                <w:color w:val="000000"/>
                <w:sz w:val="20"/>
                <w:szCs w:val="20"/>
              </w:rPr>
              <w:t>Fall</w:t>
            </w:r>
            <w:r w:rsidR="004809BE">
              <w:rPr>
                <w:rFonts w:eastAsia="Times New Roman" w:cs="Times New Roman"/>
                <w:color w:val="000000"/>
                <w:sz w:val="20"/>
                <w:szCs w:val="20"/>
              </w:rPr>
              <w:t xml:space="preserve"> 2016</w:t>
            </w:r>
            <w:r>
              <w:rPr>
                <w:rFonts w:eastAsia="Times New Roman" w:cs="Times New Roman"/>
                <w:color w:val="000000"/>
                <w:sz w:val="20"/>
                <w:szCs w:val="20"/>
              </w:rPr>
              <w:t>)</w:t>
            </w:r>
          </w:p>
        </w:tc>
      </w:tr>
      <w:tr w:rsidR="004809BE" w:rsidRPr="00D07409" w:rsidTr="007D2BA2">
        <w:trPr>
          <w:trHeight w:val="314"/>
        </w:trPr>
        <w:tc>
          <w:tcPr>
            <w:tcW w:w="2895" w:type="dxa"/>
            <w:gridSpan w:val="2"/>
            <w:tcBorders>
              <w:top w:val="nil"/>
              <w:left w:val="single" w:sz="4" w:space="0" w:color="auto"/>
              <w:bottom w:val="single" w:sz="4" w:space="0" w:color="auto"/>
              <w:right w:val="single" w:sz="4" w:space="0" w:color="auto"/>
            </w:tcBorders>
            <w:shd w:val="clear" w:color="auto" w:fill="auto"/>
            <w:vAlign w:val="center"/>
            <w:hideMark/>
          </w:tcPr>
          <w:p w:rsidR="004809BE" w:rsidRPr="00D07409" w:rsidRDefault="004809BE" w:rsidP="004809BE">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gridSpan w:val="2"/>
            <w:tcBorders>
              <w:top w:val="nil"/>
              <w:left w:val="nil"/>
              <w:bottom w:val="single" w:sz="4" w:space="0" w:color="auto"/>
              <w:right w:val="single" w:sz="4" w:space="0" w:color="auto"/>
            </w:tcBorders>
            <w:shd w:val="clear" w:color="auto" w:fill="auto"/>
            <w:noWrap/>
            <w:vAlign w:val="center"/>
            <w:hideMark/>
          </w:tcPr>
          <w:p w:rsidR="004809BE" w:rsidRPr="00D07409" w:rsidRDefault="004809BE" w:rsidP="004809BE">
            <w:pPr>
              <w:jc w:val="center"/>
              <w:rPr>
                <w:rFonts w:eastAsia="Times New Roman" w:cs="Times New Roman"/>
                <w:color w:val="000000"/>
                <w:sz w:val="20"/>
                <w:szCs w:val="20"/>
              </w:rPr>
            </w:pPr>
            <w:r>
              <w:rPr>
                <w:rFonts w:eastAsia="Times New Roman" w:cs="Times New Roman"/>
                <w:color w:val="000000"/>
                <w:sz w:val="20"/>
                <w:szCs w:val="20"/>
              </w:rPr>
              <w:t>NA</w:t>
            </w:r>
          </w:p>
        </w:tc>
        <w:tc>
          <w:tcPr>
            <w:tcW w:w="2790" w:type="dxa"/>
            <w:gridSpan w:val="2"/>
            <w:tcBorders>
              <w:top w:val="nil"/>
              <w:left w:val="nil"/>
              <w:bottom w:val="single" w:sz="4" w:space="0" w:color="auto"/>
              <w:right w:val="single" w:sz="4" w:space="0" w:color="auto"/>
            </w:tcBorders>
            <w:shd w:val="clear" w:color="auto" w:fill="auto"/>
            <w:noWrap/>
            <w:vAlign w:val="center"/>
            <w:hideMark/>
          </w:tcPr>
          <w:p w:rsidR="004809BE" w:rsidRPr="00D07409" w:rsidRDefault="00F542BC" w:rsidP="004809BE">
            <w:pPr>
              <w:jc w:val="center"/>
              <w:rPr>
                <w:rFonts w:eastAsia="Times New Roman" w:cs="Times New Roman"/>
                <w:color w:val="000000"/>
                <w:sz w:val="20"/>
                <w:szCs w:val="20"/>
              </w:rPr>
            </w:pPr>
            <w:r>
              <w:rPr>
                <w:rFonts w:eastAsia="Times New Roman" w:cs="Times New Roman"/>
                <w:color w:val="000000"/>
                <w:sz w:val="20"/>
                <w:szCs w:val="20"/>
              </w:rPr>
              <w:t>30</w:t>
            </w:r>
            <w:r w:rsidR="004809BE" w:rsidRPr="00D07409">
              <w:rPr>
                <w:rFonts w:eastAsia="Times New Roman" w:cs="Times New Roman"/>
                <w:color w:val="000000"/>
                <w:sz w:val="20"/>
                <w:szCs w:val="20"/>
              </w:rPr>
              <w:t>%</w:t>
            </w:r>
          </w:p>
        </w:tc>
      </w:tr>
      <w:tr w:rsidR="00250CA3" w:rsidRPr="00D07409" w:rsidTr="00250CA3">
        <w:trPr>
          <w:gridAfter w:val="1"/>
          <w:wAfter w:w="2659" w:type="dxa"/>
          <w:trHeight w:val="280"/>
        </w:trPr>
        <w:tc>
          <w:tcPr>
            <w:tcW w:w="2700" w:type="dxa"/>
            <w:tcBorders>
              <w:top w:val="nil"/>
              <w:left w:val="nil"/>
              <w:bottom w:val="nil"/>
              <w:right w:val="nil"/>
            </w:tcBorders>
            <w:shd w:val="clear" w:color="auto" w:fill="auto"/>
            <w:noWrap/>
            <w:vAlign w:val="center"/>
            <w:hideMark/>
          </w:tcPr>
          <w:p w:rsidR="00250CA3" w:rsidRPr="00D07409" w:rsidRDefault="00250CA3" w:rsidP="00EB4841">
            <w:pPr>
              <w:jc w:val="center"/>
              <w:rPr>
                <w:rFonts w:eastAsia="Times New Roman" w:cs="Times New Roman"/>
                <w:color w:val="000000"/>
                <w:sz w:val="20"/>
                <w:szCs w:val="20"/>
              </w:rPr>
            </w:pPr>
          </w:p>
        </w:tc>
        <w:tc>
          <w:tcPr>
            <w:tcW w:w="2790" w:type="dxa"/>
            <w:gridSpan w:val="2"/>
            <w:tcBorders>
              <w:top w:val="nil"/>
              <w:left w:val="nil"/>
              <w:bottom w:val="nil"/>
              <w:right w:val="nil"/>
            </w:tcBorders>
            <w:shd w:val="clear" w:color="auto" w:fill="auto"/>
            <w:noWrap/>
            <w:vAlign w:val="center"/>
            <w:hideMark/>
          </w:tcPr>
          <w:p w:rsidR="00250CA3" w:rsidRPr="00D07409" w:rsidRDefault="00250CA3" w:rsidP="00EB4841">
            <w:pPr>
              <w:jc w:val="center"/>
              <w:rPr>
                <w:rFonts w:eastAsia="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250CA3" w:rsidRPr="00D07409" w:rsidRDefault="00250CA3" w:rsidP="00EB4841">
            <w:pPr>
              <w:jc w:val="center"/>
              <w:rPr>
                <w:rFonts w:eastAsia="Times New Roman" w:cs="Times New Roman"/>
                <w:color w:val="000000"/>
                <w:sz w:val="20"/>
                <w:szCs w:val="20"/>
              </w:rPr>
            </w:pPr>
          </w:p>
        </w:tc>
      </w:tr>
      <w:tr w:rsidR="00EB4841" w:rsidRPr="00D07409" w:rsidTr="00215DF2">
        <w:trPr>
          <w:trHeight w:val="242"/>
        </w:trPr>
        <w:tc>
          <w:tcPr>
            <w:tcW w:w="838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B4841" w:rsidRPr="00606853" w:rsidRDefault="00EB4841" w:rsidP="00EB4841">
            <w:pPr>
              <w:jc w:val="center"/>
              <w:rPr>
                <w:rFonts w:eastAsia="Times New Roman" w:cs="Times New Roman"/>
                <w:b/>
                <w:bCs/>
                <w:color w:val="000000"/>
              </w:rPr>
            </w:pPr>
            <w:r w:rsidRPr="00606853">
              <w:rPr>
                <w:rFonts w:eastAsia="Times New Roman" w:cs="Times New Roman"/>
                <w:b/>
                <w:bCs/>
                <w:color w:val="000000"/>
              </w:rPr>
              <w:t>Written Communication, Tier 2</w:t>
            </w:r>
          </w:p>
        </w:tc>
      </w:tr>
      <w:tr w:rsidR="00BE6432" w:rsidRPr="00D07409" w:rsidTr="00250CA3">
        <w:trPr>
          <w:trHeight w:val="359"/>
        </w:trPr>
        <w:tc>
          <w:tcPr>
            <w:tcW w:w="2895" w:type="dxa"/>
            <w:gridSpan w:val="2"/>
            <w:tcBorders>
              <w:top w:val="nil"/>
              <w:left w:val="single" w:sz="4" w:space="0" w:color="auto"/>
              <w:bottom w:val="single" w:sz="4" w:space="0" w:color="auto"/>
              <w:right w:val="single" w:sz="4" w:space="0" w:color="auto"/>
            </w:tcBorders>
            <w:shd w:val="clear" w:color="auto" w:fill="auto"/>
            <w:vAlign w:val="bottom"/>
            <w:hideMark/>
          </w:tcPr>
          <w:p w:rsidR="00BE6432" w:rsidRPr="00D07409" w:rsidRDefault="00BE6432" w:rsidP="00EB4841">
            <w:pPr>
              <w:rPr>
                <w:rFonts w:eastAsia="Times New Roman" w:cs="Times New Roman"/>
                <w:color w:val="000000"/>
                <w:sz w:val="20"/>
                <w:szCs w:val="20"/>
              </w:rPr>
            </w:pPr>
            <w:r w:rsidRPr="00D07409">
              <w:rPr>
                <w:rFonts w:eastAsia="Times New Roman" w:cs="Times New Roman"/>
                <w:color w:val="000000"/>
                <w:sz w:val="20"/>
                <w:szCs w:val="20"/>
              </w:rPr>
              <w:t> </w:t>
            </w:r>
          </w:p>
        </w:tc>
        <w:tc>
          <w:tcPr>
            <w:tcW w:w="2700" w:type="dxa"/>
            <w:gridSpan w:val="2"/>
            <w:tcBorders>
              <w:top w:val="nil"/>
              <w:left w:val="nil"/>
              <w:bottom w:val="single" w:sz="4" w:space="0" w:color="auto"/>
              <w:right w:val="single" w:sz="4" w:space="0" w:color="auto"/>
            </w:tcBorders>
            <w:shd w:val="clear" w:color="auto" w:fill="auto"/>
            <w:vAlign w:val="bottom"/>
            <w:hideMark/>
          </w:tcPr>
          <w:p w:rsidR="00BE6432" w:rsidRDefault="00BE6432" w:rsidP="00EB4841">
            <w:pPr>
              <w:jc w:val="center"/>
              <w:rPr>
                <w:rFonts w:eastAsia="Times New Roman" w:cs="Times New Roman"/>
                <w:color w:val="000000"/>
                <w:sz w:val="20"/>
                <w:szCs w:val="20"/>
              </w:rPr>
            </w:pPr>
            <w:r w:rsidRPr="00D07409">
              <w:rPr>
                <w:rFonts w:eastAsia="Times New Roman" w:cs="Times New Roman"/>
                <w:color w:val="000000"/>
                <w:sz w:val="20"/>
                <w:szCs w:val="20"/>
              </w:rPr>
              <w:t>Tier 2 or Above</w:t>
            </w:r>
          </w:p>
          <w:p w:rsidR="00994AFA" w:rsidRPr="00D07409" w:rsidRDefault="00994AFA" w:rsidP="00EB4841">
            <w:pPr>
              <w:jc w:val="center"/>
              <w:rPr>
                <w:rFonts w:eastAsia="Times New Roman" w:cs="Times New Roman"/>
                <w:color w:val="000000"/>
                <w:sz w:val="20"/>
                <w:szCs w:val="20"/>
              </w:rPr>
            </w:pPr>
            <w:r>
              <w:rPr>
                <w:rFonts w:eastAsia="Times New Roman" w:cs="Times New Roman"/>
                <w:color w:val="000000"/>
                <w:sz w:val="20"/>
                <w:szCs w:val="20"/>
              </w:rPr>
              <w:t>(Fall 2015)</w:t>
            </w:r>
          </w:p>
        </w:tc>
        <w:tc>
          <w:tcPr>
            <w:tcW w:w="2790" w:type="dxa"/>
            <w:gridSpan w:val="2"/>
            <w:tcBorders>
              <w:top w:val="nil"/>
              <w:left w:val="nil"/>
              <w:bottom w:val="single" w:sz="4" w:space="0" w:color="auto"/>
              <w:right w:val="single" w:sz="4" w:space="0" w:color="auto"/>
            </w:tcBorders>
            <w:shd w:val="clear" w:color="auto" w:fill="auto"/>
            <w:vAlign w:val="bottom"/>
            <w:hideMark/>
          </w:tcPr>
          <w:p w:rsidR="007F037D" w:rsidRDefault="00BE6432" w:rsidP="007F037D">
            <w:pPr>
              <w:jc w:val="center"/>
              <w:rPr>
                <w:rFonts w:eastAsia="Times New Roman" w:cs="Times New Roman"/>
                <w:color w:val="000000"/>
                <w:sz w:val="20"/>
                <w:szCs w:val="20"/>
              </w:rPr>
            </w:pPr>
            <w:r>
              <w:rPr>
                <w:rFonts w:eastAsia="Times New Roman" w:cs="Times New Roman"/>
                <w:color w:val="000000"/>
                <w:sz w:val="20"/>
                <w:szCs w:val="20"/>
              </w:rPr>
              <w:t>Goa</w:t>
            </w:r>
            <w:r w:rsidR="007F037D">
              <w:rPr>
                <w:rFonts w:eastAsia="Times New Roman" w:cs="Times New Roman"/>
                <w:color w:val="000000"/>
                <w:sz w:val="20"/>
                <w:szCs w:val="20"/>
              </w:rPr>
              <w:t>l</w:t>
            </w:r>
            <w:r w:rsidR="007F037D" w:rsidRPr="00D07409">
              <w:rPr>
                <w:rFonts w:eastAsia="Times New Roman" w:cs="Times New Roman"/>
                <w:color w:val="000000"/>
                <w:sz w:val="20"/>
                <w:szCs w:val="20"/>
              </w:rPr>
              <w:t xml:space="preserve"> Tier 2 or Above</w:t>
            </w:r>
          </w:p>
          <w:p w:rsidR="00BE6432" w:rsidRPr="00D07409" w:rsidRDefault="003705D1" w:rsidP="00774B96">
            <w:pPr>
              <w:jc w:val="center"/>
              <w:rPr>
                <w:rFonts w:eastAsia="Times New Roman" w:cs="Times New Roman"/>
                <w:color w:val="000000"/>
                <w:sz w:val="20"/>
                <w:szCs w:val="20"/>
              </w:rPr>
            </w:pPr>
            <w:r>
              <w:rPr>
                <w:rFonts w:eastAsia="Times New Roman" w:cs="Times New Roman"/>
                <w:color w:val="000000"/>
                <w:sz w:val="20"/>
                <w:szCs w:val="20"/>
              </w:rPr>
              <w:t xml:space="preserve">(Goal </w:t>
            </w:r>
            <w:r w:rsidR="00BE6432">
              <w:rPr>
                <w:rFonts w:eastAsia="Times New Roman" w:cs="Times New Roman"/>
                <w:color w:val="000000"/>
                <w:sz w:val="20"/>
                <w:szCs w:val="20"/>
              </w:rPr>
              <w:t xml:space="preserve">for </w:t>
            </w:r>
            <w:r w:rsidR="00774B96">
              <w:rPr>
                <w:rFonts w:eastAsia="Times New Roman" w:cs="Times New Roman"/>
                <w:color w:val="000000"/>
                <w:sz w:val="20"/>
                <w:szCs w:val="20"/>
              </w:rPr>
              <w:t>Fall</w:t>
            </w:r>
            <w:r w:rsidR="00BE6432">
              <w:rPr>
                <w:rFonts w:eastAsia="Times New Roman" w:cs="Times New Roman"/>
                <w:color w:val="000000"/>
                <w:sz w:val="20"/>
                <w:szCs w:val="20"/>
              </w:rPr>
              <w:t xml:space="preserve"> 2016</w:t>
            </w:r>
            <w:r>
              <w:rPr>
                <w:rFonts w:eastAsia="Times New Roman" w:cs="Times New Roman"/>
                <w:color w:val="000000"/>
                <w:sz w:val="20"/>
                <w:szCs w:val="20"/>
              </w:rPr>
              <w:t>)</w:t>
            </w:r>
            <w:r w:rsidR="00BE6432" w:rsidRPr="00D07409">
              <w:rPr>
                <w:rFonts w:eastAsia="Times New Roman" w:cs="Times New Roman"/>
                <w:color w:val="000000"/>
                <w:sz w:val="20"/>
                <w:szCs w:val="20"/>
              </w:rPr>
              <w:t xml:space="preserve"> </w:t>
            </w:r>
          </w:p>
        </w:tc>
      </w:tr>
      <w:tr w:rsidR="00BE6432" w:rsidRPr="00D07409" w:rsidTr="00215DF2">
        <w:trPr>
          <w:trHeight w:val="242"/>
        </w:trPr>
        <w:tc>
          <w:tcPr>
            <w:tcW w:w="2895" w:type="dxa"/>
            <w:gridSpan w:val="2"/>
            <w:tcBorders>
              <w:top w:val="nil"/>
              <w:left w:val="single" w:sz="4" w:space="0" w:color="auto"/>
              <w:bottom w:val="single" w:sz="4" w:space="0" w:color="auto"/>
              <w:right w:val="single" w:sz="4" w:space="0" w:color="auto"/>
            </w:tcBorders>
            <w:shd w:val="clear" w:color="auto" w:fill="auto"/>
            <w:vAlign w:val="center"/>
            <w:hideMark/>
          </w:tcPr>
          <w:p w:rsidR="00BE6432" w:rsidRPr="00D07409" w:rsidRDefault="00BE6432" w:rsidP="00EB4841">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2700" w:type="dxa"/>
            <w:gridSpan w:val="2"/>
            <w:tcBorders>
              <w:top w:val="nil"/>
              <w:left w:val="nil"/>
              <w:bottom w:val="single" w:sz="4" w:space="0" w:color="auto"/>
              <w:right w:val="single" w:sz="4" w:space="0" w:color="auto"/>
            </w:tcBorders>
            <w:shd w:val="clear" w:color="auto" w:fill="auto"/>
            <w:vAlign w:val="center"/>
            <w:hideMark/>
          </w:tcPr>
          <w:p w:rsidR="00BE6432" w:rsidRPr="00D07409" w:rsidRDefault="00BE6432" w:rsidP="00EB4841">
            <w:pPr>
              <w:jc w:val="center"/>
              <w:rPr>
                <w:rFonts w:eastAsia="Times New Roman" w:cs="Times New Roman"/>
                <w:color w:val="000000"/>
                <w:sz w:val="20"/>
                <w:szCs w:val="20"/>
              </w:rPr>
            </w:pPr>
            <w:r w:rsidRPr="00D07409">
              <w:rPr>
                <w:rFonts w:eastAsia="Times New Roman" w:cs="Times New Roman"/>
                <w:color w:val="000000"/>
                <w:sz w:val="20"/>
                <w:szCs w:val="20"/>
              </w:rPr>
              <w:t>19%</w:t>
            </w:r>
          </w:p>
        </w:tc>
        <w:tc>
          <w:tcPr>
            <w:tcW w:w="2790" w:type="dxa"/>
            <w:gridSpan w:val="2"/>
            <w:tcBorders>
              <w:top w:val="nil"/>
              <w:left w:val="nil"/>
              <w:bottom w:val="single" w:sz="4" w:space="0" w:color="auto"/>
              <w:right w:val="single" w:sz="4" w:space="0" w:color="auto"/>
            </w:tcBorders>
            <w:shd w:val="clear" w:color="auto" w:fill="auto"/>
            <w:vAlign w:val="center"/>
            <w:hideMark/>
          </w:tcPr>
          <w:p w:rsidR="00BE6432" w:rsidRPr="00D07409" w:rsidRDefault="00BE6432" w:rsidP="00EB4841">
            <w:pPr>
              <w:jc w:val="center"/>
              <w:rPr>
                <w:rFonts w:eastAsia="Times New Roman" w:cs="Times New Roman"/>
                <w:color w:val="000000"/>
                <w:sz w:val="20"/>
                <w:szCs w:val="20"/>
              </w:rPr>
            </w:pPr>
            <w:r>
              <w:rPr>
                <w:rFonts w:eastAsia="Times New Roman" w:cs="Times New Roman"/>
                <w:color w:val="000000"/>
                <w:sz w:val="20"/>
                <w:szCs w:val="20"/>
              </w:rPr>
              <w:t>29</w:t>
            </w:r>
            <w:r w:rsidRPr="00D07409">
              <w:rPr>
                <w:rFonts w:eastAsia="Times New Roman" w:cs="Times New Roman"/>
                <w:color w:val="000000"/>
                <w:sz w:val="20"/>
                <w:szCs w:val="20"/>
              </w:rPr>
              <w:t>%</w:t>
            </w:r>
          </w:p>
        </w:tc>
      </w:tr>
    </w:tbl>
    <w:p w:rsidR="00EB4841" w:rsidRPr="009D123C" w:rsidRDefault="00EB4841" w:rsidP="005B524F">
      <w:pPr>
        <w:rPr>
          <w:sz w:val="24"/>
          <w:szCs w:val="24"/>
        </w:rPr>
      </w:pPr>
    </w:p>
    <w:p w:rsidR="004A5B6A" w:rsidRPr="009D123C" w:rsidRDefault="004A5B6A" w:rsidP="004A5B6A">
      <w:pPr>
        <w:rPr>
          <w:sz w:val="24"/>
          <w:szCs w:val="24"/>
        </w:rPr>
      </w:pPr>
      <w:r w:rsidRPr="009D123C">
        <w:rPr>
          <w:sz w:val="24"/>
          <w:szCs w:val="24"/>
        </w:rPr>
        <w:t xml:space="preserve">In order to </w:t>
      </w:r>
      <w:r w:rsidR="007E04FD" w:rsidRPr="009D123C">
        <w:rPr>
          <w:sz w:val="24"/>
          <w:szCs w:val="24"/>
        </w:rPr>
        <w:t xml:space="preserve">achieve the </w:t>
      </w:r>
      <w:r w:rsidR="00C77DF1" w:rsidRPr="009D123C">
        <w:rPr>
          <w:sz w:val="24"/>
          <w:szCs w:val="24"/>
        </w:rPr>
        <w:t xml:space="preserve">Fall 2016 </w:t>
      </w:r>
      <w:r w:rsidR="0084118C" w:rsidRPr="009D123C">
        <w:rPr>
          <w:sz w:val="24"/>
          <w:szCs w:val="24"/>
        </w:rPr>
        <w:t>Action Plan G</w:t>
      </w:r>
      <w:r w:rsidR="007E04FD" w:rsidRPr="009D123C">
        <w:rPr>
          <w:sz w:val="24"/>
          <w:szCs w:val="24"/>
        </w:rPr>
        <w:t>oal, the following strategies will be implemented:</w:t>
      </w:r>
    </w:p>
    <w:p w:rsidR="004A5B6A" w:rsidRDefault="004A5B6A" w:rsidP="004A5B6A"/>
    <w:p w:rsidR="004A5B6A" w:rsidRDefault="004A5B6A" w:rsidP="001D07BE">
      <w:pPr>
        <w:ind w:left="720" w:hanging="720"/>
      </w:pPr>
      <w:r>
        <w:t xml:space="preserve">Strategy 1: </w:t>
      </w:r>
      <w:r w:rsidR="00990DBE">
        <w:t xml:space="preserve">Implement Robust </w:t>
      </w:r>
      <w:r>
        <w:t xml:space="preserve">Faculty Development Initiative (Face-to-Face </w:t>
      </w:r>
      <w:r w:rsidR="002B63C4">
        <w:t xml:space="preserve">Events </w:t>
      </w:r>
      <w:r>
        <w:t>and Electronic)</w:t>
      </w:r>
    </w:p>
    <w:p w:rsidR="004A5B6A" w:rsidRDefault="004A5B6A" w:rsidP="001D07BE">
      <w:pPr>
        <w:ind w:left="990" w:hanging="990"/>
      </w:pPr>
      <w:r>
        <w:t xml:space="preserve">Strategy 2: </w:t>
      </w:r>
      <w:r w:rsidR="008735C9">
        <w:t xml:space="preserve">Implement </w:t>
      </w:r>
      <w:r>
        <w:t>Professional Learning Communities (Ongoing Praxis</w:t>
      </w:r>
      <w:r w:rsidR="00A42284">
        <w:t xml:space="preserve"> Among Faculty</w:t>
      </w:r>
      <w:r>
        <w:t>)</w:t>
      </w:r>
    </w:p>
    <w:p w:rsidR="004A5B6A" w:rsidRDefault="004A5B6A" w:rsidP="001D07BE">
      <w:pPr>
        <w:ind w:left="990" w:hanging="990"/>
      </w:pPr>
      <w:r>
        <w:t xml:space="preserve">Strategy 3: </w:t>
      </w:r>
      <w:r w:rsidR="008735C9">
        <w:t xml:space="preserve">Encourage Transparent </w:t>
      </w:r>
      <w:r>
        <w:t>Assignment Design (</w:t>
      </w:r>
      <w:r w:rsidR="008735C9">
        <w:t>Purpose</w:t>
      </w:r>
      <w:r w:rsidR="00231660">
        <w:t xml:space="preserve"> [Knowledge/Skills]</w:t>
      </w:r>
      <w:r w:rsidR="001D07BE">
        <w:t xml:space="preserve">, Tasks, </w:t>
      </w:r>
      <w:r>
        <w:t>Criteria)</w:t>
      </w:r>
    </w:p>
    <w:p w:rsidR="004A5B6A" w:rsidRDefault="004A5B6A" w:rsidP="001D07BE">
      <w:pPr>
        <w:ind w:left="720" w:hanging="720"/>
      </w:pPr>
      <w:r>
        <w:t xml:space="preserve">Strategy 4: </w:t>
      </w:r>
      <w:r w:rsidR="008735C9">
        <w:t xml:space="preserve">Strengthen Targeted </w:t>
      </w:r>
      <w:r>
        <w:t>Pedagogical Strategies (</w:t>
      </w:r>
      <w:r w:rsidR="008A2EDC">
        <w:t>Scaffold</w:t>
      </w:r>
      <w:r w:rsidR="009802E2">
        <w:t>ing</w:t>
      </w:r>
      <w:r w:rsidR="00302E7C">
        <w:t xml:space="preserve"> </w:t>
      </w:r>
      <w:r>
        <w:t>Skills-Building in the Disciplines)</w:t>
      </w:r>
    </w:p>
    <w:p w:rsidR="00326B39" w:rsidRDefault="00326B39" w:rsidP="001D07BE">
      <w:pPr>
        <w:ind w:left="720" w:hanging="720"/>
      </w:pPr>
      <w:r>
        <w:t>Strategy 5: Improve Data Collection (Submission Rates)</w:t>
      </w:r>
    </w:p>
    <w:p w:rsidR="00326B39" w:rsidRDefault="00326B39" w:rsidP="001D07BE">
      <w:pPr>
        <w:ind w:left="720" w:hanging="720"/>
      </w:pPr>
      <w:r>
        <w:t>Strategy 6: Improve Inter-Rater Reliability (of Assessment Team)</w:t>
      </w:r>
    </w:p>
    <w:p w:rsidR="004A5B6A" w:rsidRDefault="00326B39" w:rsidP="001D07BE">
      <w:pPr>
        <w:ind w:left="720" w:hanging="720"/>
      </w:pPr>
      <w:r>
        <w:t>Strategy 7</w:t>
      </w:r>
      <w:r w:rsidR="004A5B6A">
        <w:t xml:space="preserve">: </w:t>
      </w:r>
      <w:r w:rsidR="00CA653A">
        <w:t xml:space="preserve">Pilot </w:t>
      </w:r>
      <w:r w:rsidR="004A5B6A">
        <w:t>Assessment by Faculty (</w:t>
      </w:r>
      <w:r w:rsidR="00D3321B">
        <w:t xml:space="preserve">Faculty </w:t>
      </w:r>
      <w:r w:rsidR="00273683">
        <w:t xml:space="preserve">Complete </w:t>
      </w:r>
      <w:r w:rsidR="00DA160F">
        <w:t>Rubrics</w:t>
      </w:r>
      <w:r w:rsidR="00CA653A">
        <w:t xml:space="preserve"> </w:t>
      </w:r>
      <w:r w:rsidR="0041006C">
        <w:t xml:space="preserve">in </w:t>
      </w:r>
      <w:r w:rsidR="00CA653A">
        <w:t xml:space="preserve">Parallel </w:t>
      </w:r>
      <w:r w:rsidR="0041006C">
        <w:t xml:space="preserve">with </w:t>
      </w:r>
      <w:r w:rsidR="00CA653A">
        <w:t>Assessment Team</w:t>
      </w:r>
      <w:r w:rsidR="004A5B6A">
        <w:t>)</w:t>
      </w:r>
    </w:p>
    <w:p w:rsidR="004A5B6A" w:rsidRDefault="00326B39" w:rsidP="001D07BE">
      <w:pPr>
        <w:ind w:left="720" w:hanging="720"/>
      </w:pPr>
      <w:r>
        <w:t>Strategy 8</w:t>
      </w:r>
      <w:r w:rsidR="004A5B6A">
        <w:t xml:space="preserve">: </w:t>
      </w:r>
      <w:r w:rsidR="002218C4">
        <w:t xml:space="preserve">Universalize </w:t>
      </w:r>
      <w:r w:rsidR="004A5B6A">
        <w:t xml:space="preserve">Closing-the-Loop </w:t>
      </w:r>
      <w:r w:rsidR="00C01E32">
        <w:t>Efforts</w:t>
      </w:r>
      <w:r w:rsidR="002218C4">
        <w:t xml:space="preserve"> </w:t>
      </w:r>
      <w:r w:rsidR="004A5B6A">
        <w:t>(</w:t>
      </w:r>
      <w:r w:rsidR="000D040B">
        <w:t xml:space="preserve">Faculty </w:t>
      </w:r>
      <w:r w:rsidR="00B4526C">
        <w:t xml:space="preserve">Respond </w:t>
      </w:r>
      <w:r w:rsidR="000D040B">
        <w:t>to Assessment Results</w:t>
      </w:r>
      <w:r w:rsidR="004A5B6A">
        <w:t>)</w:t>
      </w:r>
    </w:p>
    <w:p w:rsidR="00D51CC0" w:rsidRDefault="00D51CC0" w:rsidP="001D07BE">
      <w:pPr>
        <w:ind w:left="720" w:hanging="720"/>
      </w:pPr>
    </w:p>
    <w:p w:rsidR="00D51CC0" w:rsidRPr="001C65D8" w:rsidRDefault="00D51CC0" w:rsidP="001D07BE">
      <w:pPr>
        <w:ind w:left="720" w:hanging="720"/>
        <w:rPr>
          <w:i/>
        </w:rPr>
      </w:pPr>
      <w:r w:rsidRPr="001C65D8">
        <w:rPr>
          <w:i/>
        </w:rPr>
        <w:t>See below for details.</w:t>
      </w:r>
    </w:p>
    <w:p w:rsidR="00EA2451" w:rsidRDefault="00EA2451" w:rsidP="00672E8A">
      <w:pPr>
        <w:ind w:left="720" w:hanging="720"/>
        <w:jc w:val="center"/>
        <w:rPr>
          <w:b/>
        </w:rPr>
      </w:pPr>
    </w:p>
    <w:p w:rsidR="0078760A" w:rsidRPr="009D123C" w:rsidRDefault="0046505C" w:rsidP="00672E8A">
      <w:pPr>
        <w:ind w:left="720" w:hanging="720"/>
        <w:jc w:val="center"/>
        <w:rPr>
          <w:b/>
          <w:sz w:val="24"/>
          <w:szCs w:val="24"/>
        </w:rPr>
      </w:pPr>
      <w:r w:rsidRPr="009D123C">
        <w:rPr>
          <w:b/>
          <w:sz w:val="24"/>
          <w:szCs w:val="24"/>
        </w:rPr>
        <w:t xml:space="preserve">Strategy </w:t>
      </w:r>
      <w:r w:rsidR="003806FB" w:rsidRPr="009D123C">
        <w:rPr>
          <w:b/>
          <w:sz w:val="24"/>
          <w:szCs w:val="24"/>
        </w:rPr>
        <w:t>Details</w:t>
      </w:r>
    </w:p>
    <w:p w:rsidR="0078760A" w:rsidRDefault="0078760A" w:rsidP="001D07BE">
      <w:pPr>
        <w:ind w:left="720" w:hanging="720"/>
      </w:pPr>
    </w:p>
    <w:p w:rsidR="002426A4" w:rsidRDefault="00585626" w:rsidP="00585626">
      <w:pPr>
        <w:ind w:left="720" w:hanging="720"/>
      </w:pPr>
      <w:r>
        <w:t xml:space="preserve">Strategy 1: </w:t>
      </w:r>
      <w:r w:rsidR="002426A4">
        <w:tab/>
      </w:r>
      <w:r>
        <w:t xml:space="preserve">Implement Robust Faculty Development Initiative (Face-to-Face Events and </w:t>
      </w:r>
    </w:p>
    <w:p w:rsidR="001963DB" w:rsidRDefault="002426A4" w:rsidP="00585626">
      <w:pPr>
        <w:ind w:left="720" w:hanging="720"/>
      </w:pPr>
      <w:r>
        <w:tab/>
      </w:r>
      <w:r>
        <w:tab/>
      </w:r>
      <w:r w:rsidR="00585626">
        <w:t>Electronic)</w:t>
      </w:r>
    </w:p>
    <w:p w:rsidR="002426A4" w:rsidRDefault="002426A4" w:rsidP="00585626">
      <w:pPr>
        <w:ind w:left="720" w:hanging="720"/>
      </w:pPr>
    </w:p>
    <w:p w:rsidR="001963DB" w:rsidRPr="002E165B" w:rsidRDefault="001963DB" w:rsidP="001963DB">
      <w:pPr>
        <w:pStyle w:val="ListParagraph"/>
        <w:widowControl/>
        <w:numPr>
          <w:ilvl w:val="1"/>
          <w:numId w:val="1"/>
        </w:numPr>
        <w:contextualSpacing/>
        <w:rPr>
          <w:rFonts w:ascii="Garamond" w:hAnsi="Garamond"/>
        </w:rPr>
      </w:pPr>
      <w:r w:rsidRPr="006B560F">
        <w:rPr>
          <w:rFonts w:ascii="Garamond" w:hAnsi="Garamond"/>
          <w:iCs/>
        </w:rPr>
        <w:t>“Teaching in Gen Ed,”</w:t>
      </w:r>
      <w:r w:rsidRPr="006B560F">
        <w:rPr>
          <w:rFonts w:ascii="Garamond" w:hAnsi="Garamond"/>
        </w:rPr>
        <w:t xml:space="preserve"> a two-part faculty development event for </w:t>
      </w:r>
      <w:r>
        <w:rPr>
          <w:rFonts w:ascii="Garamond" w:hAnsi="Garamond"/>
        </w:rPr>
        <w:t xml:space="preserve">Gen Ed </w:t>
      </w:r>
      <w:r w:rsidRPr="006B560F">
        <w:rPr>
          <w:rFonts w:ascii="Garamond" w:hAnsi="Garamond"/>
        </w:rPr>
        <w:t xml:space="preserve">instructors, will bring colleagues together to share strategies for supporting student success and provide answers to questions about the new program. </w:t>
      </w:r>
      <w:r w:rsidRPr="0046478B">
        <w:rPr>
          <w:rFonts w:ascii="Garamond" w:hAnsi="Garamond"/>
        </w:rPr>
        <w:t xml:space="preserve">Part 1 will address early-to-mid-semester concerns; Part 2 will focus on late-semester procedures and strategies for finishing up strong. </w:t>
      </w:r>
      <w:r w:rsidRPr="00333C8A">
        <w:rPr>
          <w:rFonts w:ascii="Garamond" w:hAnsi="Garamond"/>
        </w:rPr>
        <w:t xml:space="preserve">The following topics will be covered: </w:t>
      </w:r>
    </w:p>
    <w:p w:rsidR="001963DB" w:rsidRPr="00C53759" w:rsidRDefault="001963DB" w:rsidP="001963DB">
      <w:pPr>
        <w:pStyle w:val="Default"/>
        <w:ind w:left="1440"/>
        <w:rPr>
          <w:rFonts w:ascii="Garamond" w:hAnsi="Garamond"/>
          <w:b/>
          <w:sz w:val="22"/>
          <w:szCs w:val="22"/>
        </w:rPr>
      </w:pPr>
      <w:r w:rsidRPr="00C53759">
        <w:rPr>
          <w:rFonts w:ascii="Garamond" w:hAnsi="Garamond"/>
          <w:b/>
          <w:sz w:val="22"/>
          <w:szCs w:val="22"/>
        </w:rPr>
        <w:t xml:space="preserve">Part 1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xml:space="preserve">• The “Modes of Inquiry” approach to student learning across the disciplines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xml:space="preserve">• Supporting student achievement of the University-wide </w:t>
      </w:r>
      <w:r w:rsidR="00B33F9F">
        <w:rPr>
          <w:rFonts w:ascii="Garamond" w:hAnsi="Garamond"/>
          <w:sz w:val="22"/>
          <w:szCs w:val="22"/>
        </w:rPr>
        <w:t xml:space="preserve">student learning goals (UWSLGs) </w:t>
      </w:r>
      <w:r w:rsidRPr="00B33F9F">
        <w:rPr>
          <w:rFonts w:ascii="Garamond" w:hAnsi="Garamond"/>
          <w:iCs/>
          <w:sz w:val="22"/>
          <w:szCs w:val="22"/>
        </w:rPr>
        <w:t>without</w:t>
      </w:r>
      <w:r w:rsidRPr="006B560F">
        <w:rPr>
          <w:rFonts w:ascii="Garamond" w:hAnsi="Garamond"/>
          <w:i/>
          <w:iCs/>
          <w:sz w:val="22"/>
          <w:szCs w:val="22"/>
        </w:rPr>
        <w:t xml:space="preserve"> </w:t>
      </w:r>
      <w:r w:rsidRPr="006B560F">
        <w:rPr>
          <w:rFonts w:ascii="Garamond" w:hAnsi="Garamond"/>
          <w:sz w:val="22"/>
          <w:szCs w:val="22"/>
        </w:rPr>
        <w:t xml:space="preserve">sacrificing discipline-specific course objectives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xml:space="preserve">• End-of-semester signature assignments: their role in the classroom and for programmatic assessment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Transparent assignment design: a proven strategy for student success</w:t>
      </w:r>
    </w:p>
    <w:p w:rsidR="001963DB" w:rsidRPr="006B560F" w:rsidRDefault="001963DB" w:rsidP="001963DB">
      <w:pPr>
        <w:pStyle w:val="Default"/>
        <w:ind w:left="1440"/>
        <w:rPr>
          <w:rFonts w:ascii="Garamond" w:hAnsi="Garamond"/>
          <w:sz w:val="22"/>
          <w:szCs w:val="22"/>
        </w:rPr>
      </w:pPr>
      <w:r w:rsidRPr="006B560F">
        <w:rPr>
          <w:rFonts w:ascii="Garamond" w:hAnsi="Garamond"/>
          <w:sz w:val="22"/>
          <w:szCs w:val="22"/>
        </w:rPr>
        <w:t xml:space="preserve">• Scaffolding: building up to end-of-semester signature assignments </w:t>
      </w:r>
    </w:p>
    <w:p w:rsidR="001963DB" w:rsidRPr="00C53759" w:rsidRDefault="001963DB" w:rsidP="001963DB">
      <w:pPr>
        <w:pStyle w:val="Default"/>
        <w:ind w:left="1440"/>
        <w:rPr>
          <w:rFonts w:ascii="Garamond" w:hAnsi="Garamond"/>
          <w:b/>
          <w:sz w:val="22"/>
          <w:szCs w:val="22"/>
        </w:rPr>
      </w:pPr>
      <w:r w:rsidRPr="00C53759">
        <w:rPr>
          <w:rFonts w:ascii="Garamond" w:hAnsi="Garamond"/>
          <w:b/>
          <w:sz w:val="22"/>
          <w:szCs w:val="22"/>
        </w:rPr>
        <w:t xml:space="preserve">Part 2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xml:space="preserve">• The UWSLG rubrics: assessment instruments and teaching tools </w:t>
      </w:r>
    </w:p>
    <w:p w:rsidR="001963DB" w:rsidRPr="006B560F" w:rsidRDefault="001963DB" w:rsidP="001963DB">
      <w:pPr>
        <w:pStyle w:val="Default"/>
        <w:spacing w:after="20"/>
        <w:ind w:left="1440"/>
        <w:rPr>
          <w:rFonts w:ascii="Garamond" w:hAnsi="Garamond"/>
          <w:sz w:val="22"/>
          <w:szCs w:val="22"/>
        </w:rPr>
      </w:pPr>
      <w:r w:rsidRPr="006B560F">
        <w:rPr>
          <w:rFonts w:ascii="Garamond" w:hAnsi="Garamond"/>
          <w:sz w:val="22"/>
          <w:szCs w:val="22"/>
        </w:rPr>
        <w:t xml:space="preserve">• Navigating Tk20: ensuring student submissions and completing the rubrics </w:t>
      </w:r>
    </w:p>
    <w:p w:rsidR="001963DB" w:rsidRDefault="001963DB" w:rsidP="001963DB">
      <w:pPr>
        <w:pStyle w:val="Default"/>
        <w:ind w:left="1440"/>
        <w:rPr>
          <w:rFonts w:ascii="Garamond" w:hAnsi="Garamond"/>
          <w:sz w:val="22"/>
          <w:szCs w:val="22"/>
        </w:rPr>
      </w:pPr>
      <w:r w:rsidRPr="006B560F">
        <w:rPr>
          <w:rFonts w:ascii="Garamond" w:hAnsi="Garamond"/>
          <w:sz w:val="22"/>
          <w:szCs w:val="22"/>
        </w:rPr>
        <w:t>• Gen Ed assessment: “Closing the l</w:t>
      </w:r>
      <w:r>
        <w:rPr>
          <w:rFonts w:ascii="Garamond" w:hAnsi="Garamond"/>
          <w:sz w:val="22"/>
          <w:szCs w:val="22"/>
        </w:rPr>
        <w:t xml:space="preserve">oop” to improve student success. </w:t>
      </w:r>
    </w:p>
    <w:p w:rsidR="00EA2451" w:rsidRDefault="00EA2451" w:rsidP="00585626">
      <w:pPr>
        <w:ind w:left="720" w:hanging="720"/>
      </w:pPr>
    </w:p>
    <w:p w:rsidR="002426A4" w:rsidRDefault="00585626" w:rsidP="00585626">
      <w:pPr>
        <w:ind w:left="990" w:hanging="990"/>
      </w:pPr>
      <w:r>
        <w:t xml:space="preserve">Strategy 2: </w:t>
      </w:r>
      <w:r w:rsidR="002426A4">
        <w:tab/>
      </w:r>
      <w:r w:rsidR="002426A4">
        <w:tab/>
      </w:r>
      <w:r w:rsidR="00033F1C">
        <w:t>Convene</w:t>
      </w:r>
      <w:r>
        <w:t xml:space="preserve"> Professional Learning Communities </w:t>
      </w:r>
      <w:r w:rsidR="000D7FDE">
        <w:t>(PLC</w:t>
      </w:r>
      <w:r w:rsidR="00FA49E7">
        <w:t>s</w:t>
      </w:r>
      <w:r w:rsidR="000D7FDE">
        <w:t xml:space="preserve">) </w:t>
      </w:r>
      <w:r>
        <w:t xml:space="preserve">(Ongoing Praxis Among </w:t>
      </w:r>
    </w:p>
    <w:p w:rsidR="00EA2451" w:rsidRDefault="002426A4" w:rsidP="00585626">
      <w:pPr>
        <w:ind w:left="990" w:hanging="990"/>
      </w:pPr>
      <w:r>
        <w:tab/>
      </w:r>
      <w:r>
        <w:tab/>
      </w:r>
      <w:r w:rsidR="00585626">
        <w:t>Faculty)</w:t>
      </w:r>
    </w:p>
    <w:p w:rsidR="002426A4" w:rsidRDefault="002426A4" w:rsidP="00585626">
      <w:pPr>
        <w:ind w:left="990" w:hanging="990"/>
      </w:pPr>
    </w:p>
    <w:p w:rsidR="00A05C46" w:rsidRPr="00A05C46" w:rsidRDefault="00C146BE" w:rsidP="000D7FDE">
      <w:pPr>
        <w:pStyle w:val="Default"/>
        <w:numPr>
          <w:ilvl w:val="1"/>
          <w:numId w:val="1"/>
        </w:numPr>
        <w:rPr>
          <w:rFonts w:ascii="Garamond" w:hAnsi="Garamond"/>
          <w:sz w:val="22"/>
          <w:szCs w:val="22"/>
        </w:rPr>
      </w:pPr>
      <w:r>
        <w:rPr>
          <w:rFonts w:ascii="Garamond" w:hAnsi="Garamond"/>
          <w:sz w:val="22"/>
          <w:szCs w:val="22"/>
        </w:rPr>
        <w:t>I</w:t>
      </w:r>
      <w:r w:rsidR="000D7FDE" w:rsidRPr="00D72014">
        <w:rPr>
          <w:rFonts w:ascii="Garamond" w:hAnsi="Garamond"/>
          <w:sz w:val="22"/>
          <w:szCs w:val="22"/>
        </w:rPr>
        <w:t>nstructor</w:t>
      </w:r>
      <w:r>
        <w:rPr>
          <w:rFonts w:ascii="Garamond" w:hAnsi="Garamond"/>
          <w:sz w:val="22"/>
          <w:szCs w:val="22"/>
        </w:rPr>
        <w:t>s</w:t>
      </w:r>
      <w:r w:rsidR="0085333E">
        <w:rPr>
          <w:rFonts w:ascii="Garamond" w:hAnsi="Garamond"/>
          <w:sz w:val="22"/>
          <w:szCs w:val="22"/>
        </w:rPr>
        <w:t xml:space="preserve"> </w:t>
      </w:r>
      <w:r w:rsidR="000D7FDE" w:rsidRPr="00D72014">
        <w:rPr>
          <w:rFonts w:ascii="Garamond" w:hAnsi="Garamond"/>
          <w:sz w:val="22"/>
          <w:szCs w:val="22"/>
        </w:rPr>
        <w:t xml:space="preserve">will be assigned to </w:t>
      </w:r>
      <w:r w:rsidR="00A05C46" w:rsidRPr="00A05C46">
        <w:rPr>
          <w:rFonts w:ascii="Garamond" w:hAnsi="Garamond"/>
          <w:sz w:val="22"/>
          <w:szCs w:val="22"/>
        </w:rPr>
        <w:t>teaching-and-learning</w:t>
      </w:r>
      <w:r>
        <w:rPr>
          <w:rFonts w:ascii="Garamond" w:hAnsi="Garamond"/>
          <w:sz w:val="22"/>
          <w:szCs w:val="22"/>
        </w:rPr>
        <w:t xml:space="preserve"> communities</w:t>
      </w:r>
      <w:r w:rsidR="008035F8">
        <w:rPr>
          <w:rFonts w:ascii="Garamond" w:hAnsi="Garamond"/>
          <w:sz w:val="22"/>
          <w:szCs w:val="22"/>
        </w:rPr>
        <w:t xml:space="preserve">, </w:t>
      </w:r>
      <w:r w:rsidR="00A05C46" w:rsidRPr="00A05C46">
        <w:rPr>
          <w:rFonts w:ascii="Garamond" w:hAnsi="Garamond"/>
          <w:sz w:val="22"/>
          <w:szCs w:val="22"/>
        </w:rPr>
        <w:t>non-evaluative p</w:t>
      </w:r>
      <w:r>
        <w:rPr>
          <w:rFonts w:ascii="Garamond" w:hAnsi="Garamond"/>
          <w:sz w:val="22"/>
          <w:szCs w:val="22"/>
        </w:rPr>
        <w:t>rofessional learning communities</w:t>
      </w:r>
      <w:r w:rsidR="00A05C46">
        <w:rPr>
          <w:rFonts w:ascii="Garamond" w:hAnsi="Garamond"/>
          <w:sz w:val="22"/>
          <w:szCs w:val="22"/>
        </w:rPr>
        <w:t xml:space="preserve"> </w:t>
      </w:r>
      <w:r>
        <w:rPr>
          <w:rFonts w:ascii="Garamond" w:hAnsi="Garamond"/>
          <w:sz w:val="22"/>
          <w:szCs w:val="22"/>
        </w:rPr>
        <w:t xml:space="preserve">according to </w:t>
      </w:r>
      <w:r w:rsidR="000D7FDE" w:rsidRPr="00D72014">
        <w:rPr>
          <w:rFonts w:ascii="Garamond" w:hAnsi="Garamond"/>
          <w:sz w:val="22"/>
          <w:szCs w:val="22"/>
        </w:rPr>
        <w:t xml:space="preserve">Mode(s) of Inquiry and UWSLGs covered in </w:t>
      </w:r>
      <w:r>
        <w:rPr>
          <w:rFonts w:ascii="Garamond" w:hAnsi="Garamond"/>
          <w:sz w:val="22"/>
          <w:szCs w:val="22"/>
        </w:rPr>
        <w:t xml:space="preserve">their </w:t>
      </w:r>
      <w:r w:rsidR="000D7FDE" w:rsidRPr="00D72014">
        <w:rPr>
          <w:rFonts w:ascii="Garamond" w:hAnsi="Garamond"/>
          <w:sz w:val="22"/>
          <w:szCs w:val="22"/>
        </w:rPr>
        <w:t>course</w:t>
      </w:r>
      <w:r>
        <w:rPr>
          <w:rFonts w:ascii="Garamond" w:hAnsi="Garamond"/>
          <w:sz w:val="22"/>
          <w:szCs w:val="22"/>
        </w:rPr>
        <w:t>s</w:t>
      </w:r>
      <w:r w:rsidR="000D7FDE" w:rsidRPr="00D72014">
        <w:rPr>
          <w:rFonts w:ascii="Garamond" w:hAnsi="Garamond"/>
          <w:sz w:val="22"/>
          <w:szCs w:val="22"/>
        </w:rPr>
        <w:t>.</w:t>
      </w:r>
      <w:r w:rsidR="000D7FDE" w:rsidRPr="00A05C46">
        <w:rPr>
          <w:rFonts w:ascii="Garamond" w:hAnsi="Garamond"/>
          <w:sz w:val="22"/>
          <w:szCs w:val="22"/>
        </w:rPr>
        <w:t xml:space="preserve"> </w:t>
      </w:r>
    </w:p>
    <w:p w:rsidR="000D7FDE" w:rsidRDefault="000D7FDE" w:rsidP="000D7FDE">
      <w:pPr>
        <w:pStyle w:val="Default"/>
        <w:numPr>
          <w:ilvl w:val="1"/>
          <w:numId w:val="1"/>
        </w:numPr>
        <w:rPr>
          <w:rFonts w:ascii="Garamond" w:hAnsi="Garamond"/>
          <w:sz w:val="22"/>
          <w:szCs w:val="22"/>
        </w:rPr>
      </w:pPr>
      <w:r w:rsidRPr="00D72014">
        <w:rPr>
          <w:rFonts w:ascii="Garamond" w:hAnsi="Garamond"/>
          <w:sz w:val="22"/>
          <w:szCs w:val="22"/>
        </w:rPr>
        <w:t xml:space="preserve">Break-out sessions will be held at </w:t>
      </w:r>
      <w:r w:rsidR="0085333E">
        <w:rPr>
          <w:rFonts w:ascii="Garamond" w:hAnsi="Garamond"/>
          <w:sz w:val="22"/>
          <w:szCs w:val="22"/>
        </w:rPr>
        <w:t xml:space="preserve">the Teaching in Gen Ed workshops where </w:t>
      </w:r>
      <w:r w:rsidRPr="00D72014">
        <w:rPr>
          <w:rFonts w:ascii="Garamond" w:hAnsi="Garamond"/>
          <w:sz w:val="22"/>
          <w:szCs w:val="22"/>
        </w:rPr>
        <w:t xml:space="preserve">the </w:t>
      </w:r>
      <w:r>
        <w:rPr>
          <w:rFonts w:ascii="Garamond" w:hAnsi="Garamond"/>
          <w:sz w:val="22"/>
          <w:szCs w:val="22"/>
        </w:rPr>
        <w:t xml:space="preserve">PLCs </w:t>
      </w:r>
      <w:r w:rsidR="0085333E">
        <w:rPr>
          <w:rFonts w:ascii="Garamond" w:hAnsi="Garamond"/>
          <w:sz w:val="22"/>
          <w:szCs w:val="22"/>
        </w:rPr>
        <w:t xml:space="preserve">will </w:t>
      </w:r>
      <w:r w:rsidRPr="00D72014">
        <w:rPr>
          <w:rFonts w:ascii="Garamond" w:hAnsi="Garamond"/>
          <w:sz w:val="22"/>
          <w:szCs w:val="22"/>
        </w:rPr>
        <w:t>begin their collaborative work</w:t>
      </w:r>
      <w:r>
        <w:rPr>
          <w:rFonts w:ascii="Garamond" w:hAnsi="Garamond"/>
          <w:sz w:val="22"/>
          <w:szCs w:val="22"/>
        </w:rPr>
        <w:t xml:space="preserve"> to address the Fall 2015 Gen Ed assessment results</w:t>
      </w:r>
      <w:r w:rsidRPr="00D72014">
        <w:rPr>
          <w:rFonts w:ascii="Garamond" w:hAnsi="Garamond"/>
          <w:sz w:val="22"/>
          <w:szCs w:val="22"/>
        </w:rPr>
        <w:t xml:space="preserve">. </w:t>
      </w:r>
    </w:p>
    <w:p w:rsidR="007541AD" w:rsidRDefault="007541AD" w:rsidP="000D7FDE">
      <w:pPr>
        <w:pStyle w:val="ListParagraph"/>
        <w:widowControl/>
        <w:numPr>
          <w:ilvl w:val="1"/>
          <w:numId w:val="1"/>
        </w:numPr>
        <w:contextualSpacing/>
        <w:rPr>
          <w:rFonts w:ascii="Garamond" w:hAnsi="Garamond"/>
        </w:rPr>
      </w:pPr>
      <w:r>
        <w:rPr>
          <w:rFonts w:ascii="Garamond" w:hAnsi="Garamond"/>
        </w:rPr>
        <w:t xml:space="preserve">Instructors will join an online portal </w:t>
      </w:r>
      <w:r w:rsidR="001D5EF3">
        <w:rPr>
          <w:rFonts w:ascii="Garamond" w:hAnsi="Garamond"/>
        </w:rPr>
        <w:t xml:space="preserve">to facilitate </w:t>
      </w:r>
      <w:r>
        <w:rPr>
          <w:rFonts w:ascii="Garamond" w:hAnsi="Garamond"/>
        </w:rPr>
        <w:t>communication</w:t>
      </w:r>
      <w:r w:rsidR="00C41C71">
        <w:rPr>
          <w:rFonts w:ascii="Garamond" w:hAnsi="Garamond"/>
        </w:rPr>
        <w:t>, collaboration,</w:t>
      </w:r>
      <w:r w:rsidR="00BF7F46">
        <w:rPr>
          <w:rFonts w:ascii="Garamond" w:hAnsi="Garamond"/>
        </w:rPr>
        <w:t xml:space="preserve"> and continued faculty development between in-person </w:t>
      </w:r>
      <w:r w:rsidR="005B2735">
        <w:rPr>
          <w:rFonts w:ascii="Garamond" w:hAnsi="Garamond"/>
        </w:rPr>
        <w:t xml:space="preserve">workshops </w:t>
      </w:r>
      <w:r w:rsidR="00C83820">
        <w:rPr>
          <w:rFonts w:ascii="Garamond" w:hAnsi="Garamond"/>
        </w:rPr>
        <w:t xml:space="preserve">(and to accommodate those unable to attend in-person </w:t>
      </w:r>
      <w:r w:rsidR="005B2735">
        <w:rPr>
          <w:rFonts w:ascii="Garamond" w:hAnsi="Garamond"/>
        </w:rPr>
        <w:t>workshops</w:t>
      </w:r>
      <w:r w:rsidR="00C83820">
        <w:rPr>
          <w:rFonts w:ascii="Garamond" w:hAnsi="Garamond"/>
        </w:rPr>
        <w:t>)</w:t>
      </w:r>
      <w:r>
        <w:rPr>
          <w:rFonts w:ascii="Garamond" w:hAnsi="Garamond"/>
        </w:rPr>
        <w:t xml:space="preserve">. </w:t>
      </w:r>
    </w:p>
    <w:p w:rsidR="000D7FDE" w:rsidRDefault="000D7FDE" w:rsidP="000D7FDE">
      <w:pPr>
        <w:pStyle w:val="ListParagraph"/>
        <w:widowControl/>
        <w:numPr>
          <w:ilvl w:val="1"/>
          <w:numId w:val="1"/>
        </w:numPr>
        <w:contextualSpacing/>
        <w:rPr>
          <w:rFonts w:ascii="Garamond" w:hAnsi="Garamond"/>
        </w:rPr>
      </w:pPr>
      <w:r>
        <w:rPr>
          <w:rFonts w:ascii="Garamond" w:hAnsi="Garamond"/>
        </w:rPr>
        <w:t xml:space="preserve">PLCs </w:t>
      </w:r>
      <w:r w:rsidRPr="006B560F">
        <w:rPr>
          <w:rFonts w:ascii="Garamond" w:hAnsi="Garamond"/>
        </w:rPr>
        <w:t>will exchange assignment plans and signature assignment drafts for discussion and feedback</w:t>
      </w:r>
      <w:r w:rsidR="007541AD">
        <w:rPr>
          <w:rFonts w:ascii="Garamond" w:hAnsi="Garamond"/>
        </w:rPr>
        <w:t xml:space="preserve"> via the online portal</w:t>
      </w:r>
      <w:r w:rsidRPr="006B560F">
        <w:rPr>
          <w:rFonts w:ascii="Garamond" w:hAnsi="Garamond"/>
        </w:rPr>
        <w:t xml:space="preserve">. </w:t>
      </w:r>
    </w:p>
    <w:p w:rsidR="000D7FDE" w:rsidRDefault="000D7FDE" w:rsidP="00BB1049">
      <w:pPr>
        <w:pStyle w:val="ListParagraph"/>
        <w:widowControl/>
        <w:numPr>
          <w:ilvl w:val="1"/>
          <w:numId w:val="1"/>
        </w:numPr>
        <w:contextualSpacing/>
        <w:rPr>
          <w:rFonts w:ascii="Garamond" w:hAnsi="Garamond"/>
        </w:rPr>
      </w:pPr>
      <w:r>
        <w:rPr>
          <w:rFonts w:ascii="Garamond" w:hAnsi="Garamond"/>
        </w:rPr>
        <w:t xml:space="preserve">PLCs </w:t>
      </w:r>
      <w:r w:rsidR="007541AD">
        <w:rPr>
          <w:rFonts w:ascii="Garamond" w:hAnsi="Garamond"/>
        </w:rPr>
        <w:t xml:space="preserve">will meet, virtually and in person, </w:t>
      </w:r>
      <w:r w:rsidR="008B1308">
        <w:rPr>
          <w:rFonts w:ascii="Garamond" w:hAnsi="Garamond"/>
        </w:rPr>
        <w:t xml:space="preserve">to discuss </w:t>
      </w:r>
      <w:r w:rsidR="003728B0">
        <w:rPr>
          <w:rFonts w:ascii="Garamond" w:hAnsi="Garamond"/>
        </w:rPr>
        <w:t xml:space="preserve">planning, </w:t>
      </w:r>
      <w:r w:rsidRPr="006B560F">
        <w:rPr>
          <w:rFonts w:ascii="Garamond" w:hAnsi="Garamond"/>
        </w:rPr>
        <w:t>progress</w:t>
      </w:r>
      <w:r w:rsidR="003728B0">
        <w:rPr>
          <w:rFonts w:ascii="Garamond" w:hAnsi="Garamond"/>
        </w:rPr>
        <w:t>,</w:t>
      </w:r>
      <w:r w:rsidRPr="006B560F">
        <w:rPr>
          <w:rFonts w:ascii="Garamond" w:hAnsi="Garamond"/>
        </w:rPr>
        <w:t xml:space="preserve"> and strategies</w:t>
      </w:r>
      <w:r w:rsidR="00B732C3">
        <w:rPr>
          <w:rFonts w:ascii="Garamond" w:hAnsi="Garamond"/>
        </w:rPr>
        <w:t xml:space="preserve"> for improving </w:t>
      </w:r>
      <w:r w:rsidR="00D45C37">
        <w:rPr>
          <w:rFonts w:ascii="Garamond" w:hAnsi="Garamond"/>
        </w:rPr>
        <w:t>the percentage of students who meet tier-level UWSLGs</w:t>
      </w:r>
      <w:r w:rsidRPr="006B560F">
        <w:rPr>
          <w:rFonts w:ascii="Garamond" w:hAnsi="Garamond"/>
        </w:rPr>
        <w:t>.</w:t>
      </w:r>
    </w:p>
    <w:p w:rsidR="003448A4" w:rsidRPr="003448A4" w:rsidRDefault="003448A4" w:rsidP="00BB1049">
      <w:pPr>
        <w:pStyle w:val="ListParagraph"/>
        <w:widowControl/>
        <w:numPr>
          <w:ilvl w:val="1"/>
          <w:numId w:val="1"/>
        </w:numPr>
        <w:contextualSpacing/>
        <w:rPr>
          <w:rFonts w:ascii="Garamond" w:hAnsi="Garamond"/>
        </w:rPr>
      </w:pPr>
      <w:r w:rsidRPr="006B560F">
        <w:rPr>
          <w:rFonts w:ascii="Garamond" w:hAnsi="Garamond"/>
        </w:rPr>
        <w:t xml:space="preserve">The </w:t>
      </w:r>
      <w:r>
        <w:rPr>
          <w:rFonts w:ascii="Garamond" w:hAnsi="Garamond"/>
        </w:rPr>
        <w:t xml:space="preserve">PLCs </w:t>
      </w:r>
      <w:r w:rsidRPr="006B560F">
        <w:rPr>
          <w:rFonts w:ascii="Garamond" w:hAnsi="Garamond"/>
        </w:rPr>
        <w:t xml:space="preserve">will </w:t>
      </w:r>
      <w:r w:rsidR="00461BE0">
        <w:rPr>
          <w:rFonts w:ascii="Garamond" w:hAnsi="Garamond"/>
        </w:rPr>
        <w:t xml:space="preserve">convene </w:t>
      </w:r>
      <w:r w:rsidRPr="006B560F">
        <w:rPr>
          <w:rFonts w:ascii="Garamond" w:hAnsi="Garamond"/>
        </w:rPr>
        <w:t xml:space="preserve">again at </w:t>
      </w:r>
      <w:r>
        <w:rPr>
          <w:rFonts w:ascii="Garamond" w:hAnsi="Garamond"/>
        </w:rPr>
        <w:t xml:space="preserve">Part 2 </w:t>
      </w:r>
      <w:r w:rsidR="005769AE">
        <w:rPr>
          <w:rFonts w:ascii="Garamond" w:hAnsi="Garamond"/>
        </w:rPr>
        <w:t xml:space="preserve">of “Teaching in Gen Ed” </w:t>
      </w:r>
      <w:r>
        <w:rPr>
          <w:rFonts w:ascii="Garamond" w:hAnsi="Garamond"/>
        </w:rPr>
        <w:t>to discuss and prepare for end-of-semester SA-related activities including drafting, revision, completion, submission, and scoring</w:t>
      </w:r>
      <w:r w:rsidRPr="006B560F">
        <w:rPr>
          <w:rFonts w:ascii="Garamond" w:hAnsi="Garamond"/>
        </w:rPr>
        <w:t>.</w:t>
      </w:r>
    </w:p>
    <w:p w:rsidR="00EA2451" w:rsidRDefault="00EA2451" w:rsidP="00585626">
      <w:pPr>
        <w:ind w:left="990" w:hanging="990"/>
      </w:pPr>
    </w:p>
    <w:p w:rsidR="002426A4" w:rsidRDefault="00585626" w:rsidP="002426A4">
      <w:pPr>
        <w:ind w:left="990" w:hanging="990"/>
      </w:pPr>
      <w:r>
        <w:t xml:space="preserve">Strategy 3: </w:t>
      </w:r>
      <w:r w:rsidR="002426A4">
        <w:tab/>
      </w:r>
      <w:r w:rsidR="002426A4">
        <w:tab/>
      </w:r>
      <w:r>
        <w:t xml:space="preserve">Encourage Transparent Assignment Design (Purpose [Knowledge/Skills], Tasks, </w:t>
      </w:r>
    </w:p>
    <w:p w:rsidR="00EA2451" w:rsidRDefault="002426A4" w:rsidP="002426A4">
      <w:pPr>
        <w:ind w:left="990" w:hanging="990"/>
      </w:pPr>
      <w:r>
        <w:tab/>
      </w:r>
      <w:r>
        <w:tab/>
      </w:r>
      <w:r w:rsidR="00585626">
        <w:t>Criteria)</w:t>
      </w:r>
    </w:p>
    <w:p w:rsidR="002426A4" w:rsidRDefault="002426A4" w:rsidP="002426A4">
      <w:pPr>
        <w:ind w:left="990" w:hanging="990"/>
      </w:pPr>
    </w:p>
    <w:p w:rsidR="00761349" w:rsidRPr="00F9586A" w:rsidRDefault="002F4DE6" w:rsidP="00761349">
      <w:pPr>
        <w:pStyle w:val="TableParagraph"/>
        <w:numPr>
          <w:ilvl w:val="1"/>
          <w:numId w:val="1"/>
        </w:numPr>
        <w:ind w:right="38"/>
        <w:rPr>
          <w:rFonts w:ascii="Garamond" w:hAnsi="Garamond"/>
        </w:rPr>
      </w:pPr>
      <w:r>
        <w:rPr>
          <w:rFonts w:ascii="Garamond" w:hAnsi="Garamond"/>
        </w:rPr>
        <w:t>Provide f</w:t>
      </w:r>
      <w:r w:rsidR="00761349">
        <w:rPr>
          <w:rFonts w:ascii="Garamond" w:hAnsi="Garamond"/>
        </w:rPr>
        <w:t xml:space="preserve">aculty development </w:t>
      </w:r>
      <w:r>
        <w:rPr>
          <w:rFonts w:ascii="Garamond" w:hAnsi="Garamond"/>
        </w:rPr>
        <w:t>o</w:t>
      </w:r>
      <w:r w:rsidR="00761349">
        <w:rPr>
          <w:rFonts w:ascii="Garamond" w:hAnsi="Garamond"/>
        </w:rPr>
        <w:t xml:space="preserve">n principles of transparent assignment design </w:t>
      </w:r>
      <w:r w:rsidR="00761349" w:rsidRPr="00F9586A">
        <w:rPr>
          <w:rFonts w:ascii="Garamond" w:hAnsi="Garamond"/>
        </w:rPr>
        <w:t xml:space="preserve">to support </w:t>
      </w:r>
      <w:r w:rsidR="00761349">
        <w:rPr>
          <w:rFonts w:ascii="Garamond" w:hAnsi="Garamond"/>
        </w:rPr>
        <w:t>student success at demonstrating</w:t>
      </w:r>
      <w:r w:rsidR="00761349" w:rsidRPr="00F9586A">
        <w:rPr>
          <w:rFonts w:ascii="Garamond" w:hAnsi="Garamond"/>
        </w:rPr>
        <w:t xml:space="preserve"> </w:t>
      </w:r>
      <w:r w:rsidR="00761349">
        <w:rPr>
          <w:rFonts w:ascii="Garamond" w:hAnsi="Garamond"/>
        </w:rPr>
        <w:t>UWSLGs</w:t>
      </w:r>
      <w:r w:rsidR="00761349" w:rsidRPr="00F9586A">
        <w:rPr>
          <w:rFonts w:ascii="Garamond" w:hAnsi="Garamond"/>
        </w:rPr>
        <w:t xml:space="preserve">. </w:t>
      </w:r>
    </w:p>
    <w:p w:rsidR="00F811C6" w:rsidRDefault="002F4DE6" w:rsidP="00761349">
      <w:pPr>
        <w:pStyle w:val="TableParagraph"/>
        <w:numPr>
          <w:ilvl w:val="1"/>
          <w:numId w:val="1"/>
        </w:numPr>
        <w:ind w:right="38"/>
        <w:rPr>
          <w:rFonts w:ascii="Garamond" w:hAnsi="Garamond"/>
        </w:rPr>
      </w:pPr>
      <w:r>
        <w:rPr>
          <w:rFonts w:ascii="Garamond" w:hAnsi="Garamond"/>
        </w:rPr>
        <w:t xml:space="preserve">Encourage faculty </w:t>
      </w:r>
      <w:r w:rsidR="007D7E45">
        <w:rPr>
          <w:rFonts w:ascii="Garamond" w:hAnsi="Garamond"/>
        </w:rPr>
        <w:t>to adopt t</w:t>
      </w:r>
      <w:r w:rsidR="00F811C6">
        <w:rPr>
          <w:rFonts w:ascii="Garamond" w:hAnsi="Garamond"/>
        </w:rPr>
        <w:t xml:space="preserve">ransparent </w:t>
      </w:r>
      <w:r w:rsidR="007D7E45">
        <w:rPr>
          <w:rFonts w:ascii="Garamond" w:hAnsi="Garamond"/>
        </w:rPr>
        <w:t xml:space="preserve">design in their courses, especially on signature </w:t>
      </w:r>
      <w:r w:rsidR="00F811C6">
        <w:rPr>
          <w:rFonts w:ascii="Garamond" w:hAnsi="Garamond"/>
        </w:rPr>
        <w:t>assignments</w:t>
      </w:r>
      <w:r w:rsidR="007D7E45">
        <w:rPr>
          <w:rFonts w:ascii="Garamond" w:hAnsi="Garamond"/>
        </w:rPr>
        <w:t>—that is, to</w:t>
      </w:r>
      <w:r w:rsidR="00F811C6">
        <w:rPr>
          <w:rFonts w:ascii="Garamond" w:hAnsi="Garamond"/>
        </w:rPr>
        <w:t xml:space="preserve"> include</w:t>
      </w:r>
      <w:r w:rsidR="00F811C6" w:rsidRPr="00F811C6">
        <w:rPr>
          <w:rFonts w:ascii="Garamond" w:hAnsi="Garamond"/>
        </w:rPr>
        <w:t xml:space="preserve"> </w:t>
      </w:r>
      <w:r w:rsidR="00F811C6">
        <w:rPr>
          <w:rFonts w:ascii="Garamond" w:hAnsi="Garamond"/>
        </w:rPr>
        <w:t>clear and accessible information on the p</w:t>
      </w:r>
      <w:r w:rsidR="00F811C6" w:rsidRPr="00F811C6">
        <w:rPr>
          <w:rFonts w:ascii="Garamond" w:hAnsi="Garamond"/>
        </w:rPr>
        <w:t>urpose</w:t>
      </w:r>
      <w:r w:rsidR="007D7E45">
        <w:rPr>
          <w:rFonts w:ascii="Garamond" w:hAnsi="Garamond"/>
        </w:rPr>
        <w:t>s</w:t>
      </w:r>
      <w:r w:rsidR="00F811C6">
        <w:rPr>
          <w:rFonts w:ascii="Garamond" w:hAnsi="Garamond"/>
        </w:rPr>
        <w:t xml:space="preserve"> of an assignment (knowledge and skills)</w:t>
      </w:r>
      <w:r w:rsidR="00F811C6" w:rsidRPr="00F811C6">
        <w:rPr>
          <w:rFonts w:ascii="Garamond" w:hAnsi="Garamond"/>
        </w:rPr>
        <w:t xml:space="preserve">, </w:t>
      </w:r>
      <w:r w:rsidR="007D7E45">
        <w:rPr>
          <w:rFonts w:ascii="Garamond" w:hAnsi="Garamond"/>
        </w:rPr>
        <w:t xml:space="preserve">the </w:t>
      </w:r>
      <w:r w:rsidR="00F811C6">
        <w:rPr>
          <w:rFonts w:ascii="Garamond" w:hAnsi="Garamond"/>
        </w:rPr>
        <w:t>required t</w:t>
      </w:r>
      <w:r w:rsidR="00F811C6" w:rsidRPr="00F811C6">
        <w:rPr>
          <w:rFonts w:ascii="Garamond" w:hAnsi="Garamond"/>
        </w:rPr>
        <w:t xml:space="preserve">asks, </w:t>
      </w:r>
      <w:r w:rsidR="00F811C6">
        <w:rPr>
          <w:rFonts w:ascii="Garamond" w:hAnsi="Garamond"/>
        </w:rPr>
        <w:t xml:space="preserve">and </w:t>
      </w:r>
      <w:r w:rsidR="007D7E45">
        <w:rPr>
          <w:rFonts w:ascii="Garamond" w:hAnsi="Garamond"/>
        </w:rPr>
        <w:t xml:space="preserve">the </w:t>
      </w:r>
      <w:r w:rsidR="00F811C6">
        <w:rPr>
          <w:rFonts w:ascii="Garamond" w:hAnsi="Garamond"/>
        </w:rPr>
        <w:t>c</w:t>
      </w:r>
      <w:r w:rsidR="00F811C6" w:rsidRPr="00F811C6">
        <w:rPr>
          <w:rFonts w:ascii="Garamond" w:hAnsi="Garamond"/>
        </w:rPr>
        <w:t>riteria</w:t>
      </w:r>
      <w:r w:rsidR="00F811C6">
        <w:rPr>
          <w:rFonts w:ascii="Garamond" w:hAnsi="Garamond"/>
        </w:rPr>
        <w:t xml:space="preserve"> for success</w:t>
      </w:r>
      <w:r w:rsidR="007D7E45">
        <w:rPr>
          <w:rFonts w:ascii="Garamond" w:hAnsi="Garamond"/>
        </w:rPr>
        <w:t xml:space="preserve"> (including outcomes associated with the two UWSLGs covered in the course)</w:t>
      </w:r>
      <w:r w:rsidR="00F811C6">
        <w:rPr>
          <w:rFonts w:ascii="Garamond" w:hAnsi="Garamond"/>
        </w:rPr>
        <w:t xml:space="preserve">. </w:t>
      </w:r>
    </w:p>
    <w:p w:rsidR="003D062A" w:rsidRPr="00B610E4" w:rsidRDefault="002F4DE6" w:rsidP="003D062A">
      <w:pPr>
        <w:pStyle w:val="TableParagraph"/>
        <w:numPr>
          <w:ilvl w:val="1"/>
          <w:numId w:val="1"/>
        </w:numPr>
        <w:ind w:right="38"/>
        <w:rPr>
          <w:rFonts w:ascii="Garamond" w:hAnsi="Garamond"/>
        </w:rPr>
      </w:pPr>
      <w:r>
        <w:rPr>
          <w:rFonts w:ascii="Garamond" w:hAnsi="Garamond"/>
        </w:rPr>
        <w:t xml:space="preserve">Emphasize </w:t>
      </w:r>
      <w:r w:rsidR="003448A4">
        <w:rPr>
          <w:rFonts w:ascii="Garamond" w:hAnsi="Garamond"/>
        </w:rPr>
        <w:t>importance of including all learning outcomes fo</w:t>
      </w:r>
      <w:r w:rsidR="00B610E4">
        <w:rPr>
          <w:rFonts w:ascii="Garamond" w:hAnsi="Garamond"/>
        </w:rPr>
        <w:t>r covered UWSLGs in SA prompts (t</w:t>
      </w:r>
      <w:r w:rsidR="003D062A" w:rsidRPr="00B610E4">
        <w:rPr>
          <w:rFonts w:ascii="Garamond" w:hAnsi="Garamond"/>
        </w:rPr>
        <w:t xml:space="preserve">ransparent assignment design </w:t>
      </w:r>
      <w:r w:rsidR="00B610E4" w:rsidRPr="00B610E4">
        <w:rPr>
          <w:rFonts w:ascii="Garamond" w:hAnsi="Garamond"/>
        </w:rPr>
        <w:t xml:space="preserve">should </w:t>
      </w:r>
      <w:r w:rsidR="003D062A" w:rsidRPr="00B610E4">
        <w:rPr>
          <w:rFonts w:ascii="Garamond" w:hAnsi="Garamond"/>
        </w:rPr>
        <w:t xml:space="preserve">help reduce the number of </w:t>
      </w:r>
      <w:r w:rsidR="00B610E4">
        <w:rPr>
          <w:rFonts w:ascii="Garamond" w:hAnsi="Garamond"/>
        </w:rPr>
        <w:t>NAs, which signify</w:t>
      </w:r>
      <w:r w:rsidR="003D062A" w:rsidRPr="00B610E4">
        <w:rPr>
          <w:rFonts w:ascii="Garamond" w:hAnsi="Garamond"/>
        </w:rPr>
        <w:t xml:space="preserve"> that a given outcome was not r</w:t>
      </w:r>
      <w:r w:rsidR="00B610E4">
        <w:rPr>
          <w:rFonts w:ascii="Garamond" w:hAnsi="Garamond"/>
        </w:rPr>
        <w:t>equired by an assignment prompt</w:t>
      </w:r>
      <w:r w:rsidR="003D062A" w:rsidRPr="00B610E4">
        <w:rPr>
          <w:rFonts w:ascii="Garamond" w:hAnsi="Garamond"/>
        </w:rPr>
        <w:t>.</w:t>
      </w:r>
    </w:p>
    <w:p w:rsidR="00761349" w:rsidRDefault="002F4DE6" w:rsidP="00761349">
      <w:pPr>
        <w:pStyle w:val="TableParagraph"/>
        <w:numPr>
          <w:ilvl w:val="1"/>
          <w:numId w:val="1"/>
        </w:numPr>
        <w:ind w:right="38"/>
        <w:rPr>
          <w:rFonts w:ascii="Garamond" w:hAnsi="Garamond"/>
        </w:rPr>
      </w:pPr>
      <w:r>
        <w:rPr>
          <w:rFonts w:ascii="Garamond" w:hAnsi="Garamond"/>
        </w:rPr>
        <w:t>Provide f</w:t>
      </w:r>
      <w:r w:rsidR="00BE242A">
        <w:rPr>
          <w:rFonts w:ascii="Garamond" w:hAnsi="Garamond"/>
        </w:rPr>
        <w:t xml:space="preserve">aculty development on </w:t>
      </w:r>
      <w:r w:rsidR="00761349">
        <w:rPr>
          <w:rFonts w:ascii="Garamond" w:hAnsi="Garamond"/>
        </w:rPr>
        <w:t xml:space="preserve">curricular planning so that SAs </w:t>
      </w:r>
      <w:r>
        <w:rPr>
          <w:rFonts w:ascii="Garamond" w:hAnsi="Garamond"/>
        </w:rPr>
        <w:t xml:space="preserve">are the </w:t>
      </w:r>
      <w:r w:rsidR="00761349">
        <w:rPr>
          <w:rFonts w:ascii="Garamond" w:hAnsi="Garamond"/>
        </w:rPr>
        <w:t>culmination of a developmental progression of skills building throughout the course.</w:t>
      </w:r>
    </w:p>
    <w:p w:rsidR="00EA2451" w:rsidRDefault="00EA2451" w:rsidP="00585626">
      <w:pPr>
        <w:ind w:left="720" w:hanging="720"/>
      </w:pPr>
    </w:p>
    <w:p w:rsidR="00D03FF7" w:rsidRDefault="00585626" w:rsidP="00585626">
      <w:pPr>
        <w:ind w:left="720" w:hanging="720"/>
      </w:pPr>
      <w:r>
        <w:t xml:space="preserve">Strategy 4: </w:t>
      </w:r>
      <w:r w:rsidR="002426A4">
        <w:tab/>
      </w:r>
      <w:r w:rsidR="00D03FF7">
        <w:t xml:space="preserve">Emphasize Development of </w:t>
      </w:r>
      <w:r>
        <w:t>Targeted Pedagogical Strategies (Scaffolding Skills-</w:t>
      </w:r>
    </w:p>
    <w:p w:rsidR="00585626" w:rsidRDefault="00D03FF7" w:rsidP="00585626">
      <w:pPr>
        <w:ind w:left="720" w:hanging="720"/>
      </w:pPr>
      <w:r>
        <w:tab/>
      </w:r>
      <w:r>
        <w:tab/>
      </w:r>
      <w:r w:rsidR="00585626">
        <w:t>Building in the Disciplines)</w:t>
      </w:r>
    </w:p>
    <w:p w:rsidR="002426A4" w:rsidRDefault="002426A4" w:rsidP="00585626">
      <w:pPr>
        <w:ind w:left="720" w:hanging="720"/>
      </w:pPr>
    </w:p>
    <w:p w:rsidR="002E165B" w:rsidRDefault="00725E42" w:rsidP="002E165B">
      <w:pPr>
        <w:pStyle w:val="TableParagraph"/>
        <w:numPr>
          <w:ilvl w:val="1"/>
          <w:numId w:val="1"/>
        </w:numPr>
        <w:ind w:right="38"/>
        <w:rPr>
          <w:rFonts w:ascii="Garamond" w:hAnsi="Garamond"/>
        </w:rPr>
      </w:pPr>
      <w:r>
        <w:rPr>
          <w:rFonts w:ascii="Garamond" w:hAnsi="Garamond"/>
        </w:rPr>
        <w:t xml:space="preserve">Share </w:t>
      </w:r>
      <w:r w:rsidR="002E165B">
        <w:rPr>
          <w:rFonts w:ascii="Garamond" w:hAnsi="Garamond"/>
        </w:rPr>
        <w:t xml:space="preserve">Fall 2015 assessment results with faculty and PLCs. </w:t>
      </w:r>
    </w:p>
    <w:p w:rsidR="00B7150A" w:rsidRDefault="00B7150A" w:rsidP="000C425A">
      <w:pPr>
        <w:pStyle w:val="TableParagraph"/>
        <w:numPr>
          <w:ilvl w:val="1"/>
          <w:numId w:val="1"/>
        </w:numPr>
        <w:ind w:right="38"/>
        <w:rPr>
          <w:rFonts w:ascii="Garamond" w:hAnsi="Garamond"/>
        </w:rPr>
      </w:pPr>
      <w:r>
        <w:rPr>
          <w:rFonts w:ascii="Garamond" w:hAnsi="Garamond"/>
        </w:rPr>
        <w:t xml:space="preserve">Emphasize need to include all </w:t>
      </w:r>
      <w:r w:rsidR="000C425A">
        <w:rPr>
          <w:rFonts w:ascii="Garamond" w:hAnsi="Garamond"/>
        </w:rPr>
        <w:t xml:space="preserve">UWSLGs covered in a given course </w:t>
      </w:r>
      <w:r>
        <w:rPr>
          <w:rFonts w:ascii="Garamond" w:hAnsi="Garamond"/>
        </w:rPr>
        <w:t>on SAs.</w:t>
      </w:r>
    </w:p>
    <w:p w:rsidR="000C425A" w:rsidRDefault="00B7150A" w:rsidP="000C425A">
      <w:pPr>
        <w:pStyle w:val="TableParagraph"/>
        <w:numPr>
          <w:ilvl w:val="1"/>
          <w:numId w:val="1"/>
        </w:numPr>
        <w:ind w:right="38"/>
        <w:rPr>
          <w:rFonts w:ascii="Garamond" w:hAnsi="Garamond"/>
        </w:rPr>
      </w:pPr>
      <w:r>
        <w:rPr>
          <w:rFonts w:ascii="Garamond" w:hAnsi="Garamond"/>
        </w:rPr>
        <w:t xml:space="preserve">Emphasize that </w:t>
      </w:r>
      <w:r w:rsidR="000C425A">
        <w:rPr>
          <w:rFonts w:ascii="Garamond" w:hAnsi="Garamond"/>
        </w:rPr>
        <w:t xml:space="preserve">UWSLGs </w:t>
      </w:r>
      <w:r>
        <w:rPr>
          <w:rFonts w:ascii="Garamond" w:hAnsi="Garamond"/>
        </w:rPr>
        <w:t xml:space="preserve">are </w:t>
      </w:r>
      <w:r w:rsidR="000C425A">
        <w:rPr>
          <w:rFonts w:ascii="Garamond" w:hAnsi="Garamond"/>
        </w:rPr>
        <w:t>comprised of specific student learning outcomes to be covered during the semester and dem</w:t>
      </w:r>
      <w:r w:rsidR="0071643A">
        <w:rPr>
          <w:rFonts w:ascii="Garamond" w:hAnsi="Garamond"/>
        </w:rPr>
        <w:t>onstrated on end-of-semester SA</w:t>
      </w:r>
      <w:r w:rsidR="000C425A">
        <w:rPr>
          <w:rFonts w:ascii="Garamond" w:hAnsi="Garamond"/>
        </w:rPr>
        <w:t>.</w:t>
      </w:r>
    </w:p>
    <w:p w:rsidR="002278D3" w:rsidRPr="000C425A" w:rsidRDefault="002278D3" w:rsidP="002E165B">
      <w:pPr>
        <w:pStyle w:val="TableParagraph"/>
        <w:numPr>
          <w:ilvl w:val="1"/>
          <w:numId w:val="1"/>
        </w:numPr>
        <w:ind w:right="38"/>
        <w:rPr>
          <w:rFonts w:ascii="Garamond" w:hAnsi="Garamond"/>
        </w:rPr>
      </w:pPr>
      <w:r>
        <w:rPr>
          <w:rFonts w:ascii="Garamond" w:hAnsi="Garamond"/>
        </w:rPr>
        <w:t>P</w:t>
      </w:r>
      <w:r w:rsidR="00B7150A">
        <w:rPr>
          <w:rFonts w:ascii="Garamond" w:hAnsi="Garamond"/>
        </w:rPr>
        <w:t>rovide p</w:t>
      </w:r>
      <w:r>
        <w:rPr>
          <w:rFonts w:ascii="Garamond" w:hAnsi="Garamond"/>
        </w:rPr>
        <w:t xml:space="preserve">rofessional development </w:t>
      </w:r>
      <w:r w:rsidR="00B461AA">
        <w:rPr>
          <w:rFonts w:ascii="Garamond" w:hAnsi="Garamond"/>
        </w:rPr>
        <w:t xml:space="preserve">on </w:t>
      </w:r>
      <w:r>
        <w:rPr>
          <w:rFonts w:ascii="Garamond" w:hAnsi="Garamond"/>
        </w:rPr>
        <w:t xml:space="preserve">scaffolding of skills-development </w:t>
      </w:r>
      <w:r w:rsidR="00B461AA">
        <w:rPr>
          <w:rFonts w:ascii="Garamond" w:hAnsi="Garamond"/>
        </w:rPr>
        <w:t xml:space="preserve">and </w:t>
      </w:r>
      <w:r w:rsidR="000C425A">
        <w:rPr>
          <w:rFonts w:ascii="Garamond" w:hAnsi="Garamond"/>
        </w:rPr>
        <w:t xml:space="preserve">the need to build skills gradually by assigning increasingly sophisticated work on a continuum that spans the semester leading up to the SA. </w:t>
      </w:r>
    </w:p>
    <w:p w:rsidR="002E165B" w:rsidRDefault="00B7150A" w:rsidP="002E165B">
      <w:pPr>
        <w:pStyle w:val="TableParagraph"/>
        <w:numPr>
          <w:ilvl w:val="1"/>
          <w:numId w:val="1"/>
        </w:numPr>
        <w:ind w:right="38"/>
        <w:rPr>
          <w:rFonts w:ascii="Garamond" w:hAnsi="Garamond"/>
        </w:rPr>
      </w:pPr>
      <w:r>
        <w:rPr>
          <w:rFonts w:ascii="Garamond" w:hAnsi="Garamond"/>
        </w:rPr>
        <w:t>D</w:t>
      </w:r>
      <w:r w:rsidR="00A05C46">
        <w:rPr>
          <w:rFonts w:ascii="Garamond" w:hAnsi="Garamond"/>
        </w:rPr>
        <w:t xml:space="preserve">evelop and discuss </w:t>
      </w:r>
      <w:r w:rsidR="00016444">
        <w:rPr>
          <w:rFonts w:ascii="Garamond" w:hAnsi="Garamond"/>
        </w:rPr>
        <w:t xml:space="preserve">scaffolding and other </w:t>
      </w:r>
      <w:r w:rsidR="002E165B">
        <w:rPr>
          <w:rFonts w:ascii="Garamond" w:hAnsi="Garamond"/>
        </w:rPr>
        <w:t>strategies for improving student success on all outcomes, especi</w:t>
      </w:r>
      <w:r w:rsidR="00A05C46">
        <w:rPr>
          <w:rFonts w:ascii="Garamond" w:hAnsi="Garamond"/>
        </w:rPr>
        <w:t xml:space="preserve">ally those of greatest concern. </w:t>
      </w:r>
    </w:p>
    <w:p w:rsidR="00EA2451" w:rsidRDefault="00EA2451" w:rsidP="00585626">
      <w:pPr>
        <w:ind w:left="720" w:hanging="720"/>
      </w:pPr>
    </w:p>
    <w:p w:rsidR="00585626" w:rsidRDefault="00585626" w:rsidP="00585626">
      <w:pPr>
        <w:ind w:left="720" w:hanging="720"/>
      </w:pPr>
      <w:r>
        <w:t xml:space="preserve">Strategy 5: </w:t>
      </w:r>
      <w:r w:rsidR="002426A4">
        <w:tab/>
      </w:r>
      <w:r>
        <w:t>Improve Data Collection (Submission Rates)</w:t>
      </w:r>
    </w:p>
    <w:p w:rsidR="00F558A2" w:rsidRDefault="00F558A2" w:rsidP="00585626">
      <w:pPr>
        <w:ind w:left="720" w:hanging="720"/>
      </w:pPr>
    </w:p>
    <w:p w:rsidR="00F558A2" w:rsidRDefault="00F558A2" w:rsidP="00F558A2">
      <w:pPr>
        <w:pStyle w:val="TableParagraph"/>
        <w:numPr>
          <w:ilvl w:val="1"/>
          <w:numId w:val="1"/>
        </w:numPr>
        <w:ind w:right="38"/>
        <w:rPr>
          <w:rFonts w:ascii="Garamond" w:hAnsi="Garamond"/>
        </w:rPr>
      </w:pPr>
      <w:r>
        <w:rPr>
          <w:rFonts w:ascii="Garamond" w:hAnsi="Garamond"/>
        </w:rPr>
        <w:t>R</w:t>
      </w:r>
      <w:r w:rsidRPr="003544FF">
        <w:rPr>
          <w:rFonts w:ascii="Garamond" w:hAnsi="Garamond"/>
        </w:rPr>
        <w:t xml:space="preserve">equire students to submit </w:t>
      </w:r>
      <w:r>
        <w:rPr>
          <w:rFonts w:ascii="Garamond" w:hAnsi="Garamond"/>
        </w:rPr>
        <w:t xml:space="preserve">SAs </w:t>
      </w:r>
      <w:r w:rsidRPr="003544FF">
        <w:rPr>
          <w:rFonts w:ascii="Garamond" w:hAnsi="Garamond"/>
        </w:rPr>
        <w:t>exclusively via Tk20.</w:t>
      </w:r>
    </w:p>
    <w:p w:rsidR="00F558A2" w:rsidRDefault="00F558A2" w:rsidP="00F558A2">
      <w:pPr>
        <w:pStyle w:val="TableParagraph"/>
        <w:numPr>
          <w:ilvl w:val="1"/>
          <w:numId w:val="1"/>
        </w:numPr>
        <w:ind w:right="38"/>
        <w:rPr>
          <w:rFonts w:ascii="Garamond" w:hAnsi="Garamond"/>
        </w:rPr>
      </w:pPr>
      <w:r>
        <w:rPr>
          <w:rFonts w:ascii="Garamond" w:hAnsi="Garamond"/>
        </w:rPr>
        <w:t>Hold mid- and late-semester training workshops for students and faculty on navigating Tk20 and submitting SAs (</w:t>
      </w:r>
      <w:r w:rsidR="006600B5">
        <w:rPr>
          <w:rFonts w:ascii="Garamond" w:hAnsi="Garamond"/>
        </w:rPr>
        <w:t xml:space="preserve">begun in Fall 2016; continued in </w:t>
      </w:r>
      <w:r>
        <w:rPr>
          <w:rFonts w:ascii="Garamond" w:hAnsi="Garamond"/>
        </w:rPr>
        <w:t xml:space="preserve">Spring 2016; </w:t>
      </w:r>
      <w:r w:rsidR="006600B5">
        <w:rPr>
          <w:rFonts w:ascii="Garamond" w:hAnsi="Garamond"/>
        </w:rPr>
        <w:t xml:space="preserve">to be </w:t>
      </w:r>
      <w:r>
        <w:rPr>
          <w:rFonts w:ascii="Garamond" w:hAnsi="Garamond"/>
        </w:rPr>
        <w:t>continue</w:t>
      </w:r>
      <w:r w:rsidR="006600B5">
        <w:rPr>
          <w:rFonts w:ascii="Garamond" w:hAnsi="Garamond"/>
        </w:rPr>
        <w:t>d</w:t>
      </w:r>
      <w:r>
        <w:rPr>
          <w:rFonts w:ascii="Garamond" w:hAnsi="Garamond"/>
        </w:rPr>
        <w:t xml:space="preserve"> </w:t>
      </w:r>
      <w:r w:rsidR="006600B5">
        <w:rPr>
          <w:rFonts w:ascii="Garamond" w:hAnsi="Garamond"/>
        </w:rPr>
        <w:t xml:space="preserve">in </w:t>
      </w:r>
      <w:r>
        <w:rPr>
          <w:rFonts w:ascii="Garamond" w:hAnsi="Garamond"/>
        </w:rPr>
        <w:t>Fall 2016</w:t>
      </w:r>
      <w:r w:rsidR="00454A5D">
        <w:rPr>
          <w:rFonts w:ascii="Garamond" w:hAnsi="Garamond"/>
        </w:rPr>
        <w:t xml:space="preserve"> with expansion</w:t>
      </w:r>
      <w:r>
        <w:rPr>
          <w:rFonts w:ascii="Garamond" w:hAnsi="Garamond"/>
        </w:rPr>
        <w:t xml:space="preserve"> to include </w:t>
      </w:r>
      <w:r w:rsidR="00454A5D">
        <w:rPr>
          <w:rFonts w:ascii="Garamond" w:hAnsi="Garamond"/>
        </w:rPr>
        <w:t xml:space="preserve">NJCU Hub sessions and </w:t>
      </w:r>
      <w:r>
        <w:rPr>
          <w:rFonts w:ascii="Garamond" w:hAnsi="Garamond"/>
        </w:rPr>
        <w:t>online video training)</w:t>
      </w:r>
      <w:r w:rsidR="00454A5D">
        <w:rPr>
          <w:rFonts w:ascii="Garamond" w:hAnsi="Garamond"/>
        </w:rPr>
        <w:t>.</w:t>
      </w:r>
    </w:p>
    <w:p w:rsidR="00F558A2" w:rsidRPr="00B01D2A" w:rsidRDefault="00F558A2" w:rsidP="00F558A2">
      <w:pPr>
        <w:pStyle w:val="TableParagraph"/>
        <w:numPr>
          <w:ilvl w:val="1"/>
          <w:numId w:val="1"/>
        </w:numPr>
        <w:ind w:right="38"/>
        <w:rPr>
          <w:rFonts w:ascii="Garamond" w:hAnsi="Garamond"/>
        </w:rPr>
      </w:pPr>
      <w:r>
        <w:rPr>
          <w:rFonts w:ascii="Garamond" w:hAnsi="Garamond"/>
        </w:rPr>
        <w:t>Hold late-semester drop-in sessions for students and faculty on submitting SAs to Tk20</w:t>
      </w:r>
      <w:r w:rsidRPr="009F3893">
        <w:rPr>
          <w:rFonts w:ascii="Garamond" w:hAnsi="Garamond"/>
        </w:rPr>
        <w:t xml:space="preserve"> </w:t>
      </w:r>
      <w:r>
        <w:rPr>
          <w:rFonts w:ascii="Garamond" w:hAnsi="Garamond"/>
        </w:rPr>
        <w:t>(</w:t>
      </w:r>
      <w:r w:rsidR="006600B5">
        <w:rPr>
          <w:rFonts w:ascii="Garamond" w:hAnsi="Garamond"/>
        </w:rPr>
        <w:t>begun in Fall 2016; continued in Spring 2016; to be continued in Fall 2016 with expansion to include NJCU Hub sessions and online video training</w:t>
      </w:r>
      <w:r>
        <w:rPr>
          <w:rFonts w:ascii="Garamond" w:hAnsi="Garamond"/>
        </w:rPr>
        <w:t>).</w:t>
      </w:r>
    </w:p>
    <w:p w:rsidR="00EA2451" w:rsidRDefault="00EA2451" w:rsidP="00585626">
      <w:pPr>
        <w:ind w:left="720" w:hanging="720"/>
      </w:pPr>
    </w:p>
    <w:p w:rsidR="00585626" w:rsidRDefault="00585626" w:rsidP="00585626">
      <w:pPr>
        <w:ind w:left="720" w:hanging="720"/>
      </w:pPr>
      <w:r>
        <w:t xml:space="preserve">Strategy 6: </w:t>
      </w:r>
      <w:r w:rsidR="002426A4">
        <w:tab/>
      </w:r>
      <w:r>
        <w:t>Improve Inter-Rater Reliability (of Assessment Team)</w:t>
      </w:r>
    </w:p>
    <w:p w:rsidR="00EA2451" w:rsidRDefault="00EA2451" w:rsidP="00585626">
      <w:pPr>
        <w:ind w:left="720" w:hanging="720"/>
      </w:pPr>
    </w:p>
    <w:p w:rsidR="00AF1FA9" w:rsidRDefault="00AF1FA9" w:rsidP="00AF1FA9">
      <w:pPr>
        <w:pStyle w:val="TableParagraph"/>
        <w:numPr>
          <w:ilvl w:val="1"/>
          <w:numId w:val="1"/>
        </w:numPr>
        <w:ind w:right="38"/>
        <w:rPr>
          <w:rFonts w:ascii="Garamond" w:hAnsi="Garamond"/>
        </w:rPr>
      </w:pPr>
      <w:r>
        <w:rPr>
          <w:rFonts w:ascii="Garamond" w:hAnsi="Garamond"/>
        </w:rPr>
        <w:t xml:space="preserve">Expand assessment team training work to include double the number of sample SAs from actual student submissions as completed for Fall 2015. </w:t>
      </w:r>
    </w:p>
    <w:p w:rsidR="0053585D" w:rsidRDefault="00AF1FA9" w:rsidP="00AF1FA9">
      <w:pPr>
        <w:pStyle w:val="TableParagraph"/>
        <w:numPr>
          <w:ilvl w:val="1"/>
          <w:numId w:val="1"/>
        </w:numPr>
        <w:ind w:right="38"/>
        <w:rPr>
          <w:rFonts w:ascii="Garamond" w:hAnsi="Garamond"/>
        </w:rPr>
      </w:pPr>
      <w:r>
        <w:rPr>
          <w:rFonts w:ascii="Garamond" w:hAnsi="Garamond"/>
        </w:rPr>
        <w:t xml:space="preserve">Hold norming sessions for subgroups of the assessment team who work on each of the UWSLGs. </w:t>
      </w:r>
    </w:p>
    <w:p w:rsidR="004F7DB8" w:rsidRDefault="004F7DB8" w:rsidP="004F7DB8">
      <w:pPr>
        <w:pStyle w:val="TableParagraph"/>
        <w:numPr>
          <w:ilvl w:val="1"/>
          <w:numId w:val="1"/>
        </w:numPr>
        <w:ind w:right="38"/>
        <w:rPr>
          <w:rFonts w:ascii="Garamond" w:hAnsi="Garamond"/>
        </w:rPr>
      </w:pPr>
      <w:r>
        <w:rPr>
          <w:rFonts w:ascii="Garamond" w:hAnsi="Garamond"/>
        </w:rPr>
        <w:t>Provide average scores from among all assessment team members.</w:t>
      </w:r>
    </w:p>
    <w:p w:rsidR="0053585D" w:rsidRDefault="004F7DB8" w:rsidP="00AF1FA9">
      <w:pPr>
        <w:pStyle w:val="TableParagraph"/>
        <w:numPr>
          <w:ilvl w:val="1"/>
          <w:numId w:val="1"/>
        </w:numPr>
        <w:ind w:right="38"/>
        <w:rPr>
          <w:rFonts w:ascii="Garamond" w:hAnsi="Garamond"/>
        </w:rPr>
      </w:pPr>
      <w:r>
        <w:rPr>
          <w:rFonts w:ascii="Garamond" w:hAnsi="Garamond"/>
        </w:rPr>
        <w:t>Provide opportunity</w:t>
      </w:r>
      <w:r w:rsidR="0053585D">
        <w:rPr>
          <w:rFonts w:ascii="Garamond" w:hAnsi="Garamond"/>
        </w:rPr>
        <w:t xml:space="preserve"> for assessment team members to compare</w:t>
      </w:r>
      <w:r w:rsidR="00AF1FA9" w:rsidRPr="0053585D">
        <w:rPr>
          <w:rFonts w:ascii="Garamond" w:hAnsi="Garamond"/>
        </w:rPr>
        <w:t xml:space="preserve"> </w:t>
      </w:r>
      <w:r w:rsidR="0053585D">
        <w:rPr>
          <w:rFonts w:ascii="Garamond" w:hAnsi="Garamond"/>
        </w:rPr>
        <w:t>scores on actual student submissions.</w:t>
      </w:r>
    </w:p>
    <w:p w:rsidR="00AF1FA9" w:rsidRPr="0053585D" w:rsidRDefault="0053585D" w:rsidP="00AF1FA9">
      <w:pPr>
        <w:pStyle w:val="TableParagraph"/>
        <w:numPr>
          <w:ilvl w:val="1"/>
          <w:numId w:val="1"/>
        </w:numPr>
        <w:ind w:right="38"/>
        <w:rPr>
          <w:rFonts w:ascii="Garamond" w:hAnsi="Garamond"/>
        </w:rPr>
      </w:pPr>
      <w:r>
        <w:rPr>
          <w:rFonts w:ascii="Garamond" w:hAnsi="Garamond"/>
        </w:rPr>
        <w:t xml:space="preserve">Hold discussions to establish </w:t>
      </w:r>
      <w:r w:rsidR="00AF1FA9" w:rsidRPr="0053585D">
        <w:rPr>
          <w:rFonts w:ascii="Garamond" w:hAnsi="Garamond"/>
        </w:rPr>
        <w:t>agreement on scoring standards and rationales</w:t>
      </w:r>
      <w:r w:rsidR="00845F0E">
        <w:rPr>
          <w:rFonts w:ascii="Garamond" w:hAnsi="Garamond"/>
        </w:rPr>
        <w:t xml:space="preserve"> including especially the proper use of the NA designation</w:t>
      </w:r>
      <w:r w:rsidR="00AF1FA9" w:rsidRPr="0053585D">
        <w:rPr>
          <w:rFonts w:ascii="Garamond" w:hAnsi="Garamond"/>
        </w:rPr>
        <w:t xml:space="preserve">. </w:t>
      </w:r>
    </w:p>
    <w:p w:rsidR="00EA2451" w:rsidRDefault="00EA2451" w:rsidP="00585626">
      <w:pPr>
        <w:ind w:left="720" w:hanging="720"/>
      </w:pPr>
    </w:p>
    <w:p w:rsidR="008C2CE5" w:rsidRDefault="00585626" w:rsidP="00585626">
      <w:pPr>
        <w:ind w:left="720" w:hanging="720"/>
      </w:pPr>
      <w:r>
        <w:t xml:space="preserve">Strategy 7: </w:t>
      </w:r>
      <w:r w:rsidR="002426A4">
        <w:tab/>
      </w:r>
      <w:r>
        <w:t xml:space="preserve">Assessment </w:t>
      </w:r>
      <w:r w:rsidR="007046FC">
        <w:t xml:space="preserve">of SAs </w:t>
      </w:r>
      <w:r>
        <w:t xml:space="preserve">by Faculty </w:t>
      </w:r>
      <w:r w:rsidR="008C2CE5">
        <w:t xml:space="preserve">Instructors </w:t>
      </w:r>
      <w:r>
        <w:t>(</w:t>
      </w:r>
      <w:r w:rsidR="000F52F1">
        <w:t>Pilot Faculty Completing</w:t>
      </w:r>
      <w:r>
        <w:t xml:space="preserve"> Rubrics </w:t>
      </w:r>
      <w:r w:rsidR="000F52F1">
        <w:t xml:space="preserve">in </w:t>
      </w:r>
    </w:p>
    <w:p w:rsidR="00585626" w:rsidRDefault="008C2CE5" w:rsidP="00585626">
      <w:pPr>
        <w:ind w:left="720" w:hanging="720"/>
      </w:pPr>
      <w:r>
        <w:tab/>
      </w:r>
      <w:r>
        <w:tab/>
      </w:r>
      <w:r w:rsidR="00585626">
        <w:t>Parallel</w:t>
      </w:r>
      <w:r w:rsidR="007046FC">
        <w:t xml:space="preserve"> </w:t>
      </w:r>
      <w:r w:rsidR="009F67B9">
        <w:t xml:space="preserve">to </w:t>
      </w:r>
      <w:r w:rsidR="00032BC9">
        <w:t xml:space="preserve">Ongoing </w:t>
      </w:r>
      <w:r w:rsidR="00585626">
        <w:t>Assessment Team</w:t>
      </w:r>
      <w:r w:rsidR="00032BC9">
        <w:t xml:space="preserve"> </w:t>
      </w:r>
      <w:r w:rsidR="0099496D">
        <w:t>Activities</w:t>
      </w:r>
      <w:r w:rsidR="00585626">
        <w:t>)</w:t>
      </w:r>
    </w:p>
    <w:p w:rsidR="00EA2451" w:rsidRDefault="00EA2451" w:rsidP="00585626"/>
    <w:p w:rsidR="00810CD8" w:rsidRPr="008A441F" w:rsidRDefault="00AA6754" w:rsidP="00DF1017">
      <w:pPr>
        <w:pStyle w:val="TableParagraph"/>
        <w:numPr>
          <w:ilvl w:val="1"/>
          <w:numId w:val="1"/>
        </w:numPr>
        <w:ind w:right="38"/>
        <w:rPr>
          <w:rFonts w:ascii="Garamond" w:hAnsi="Garamond"/>
        </w:rPr>
      </w:pPr>
      <w:r>
        <w:rPr>
          <w:rFonts w:ascii="Garamond" w:hAnsi="Garamond"/>
        </w:rPr>
        <w:t>F</w:t>
      </w:r>
      <w:r w:rsidRPr="00427007">
        <w:rPr>
          <w:rFonts w:ascii="Garamond" w:hAnsi="Garamond"/>
        </w:rPr>
        <w:t xml:space="preserve">aculty </w:t>
      </w:r>
      <w:r>
        <w:rPr>
          <w:rFonts w:ascii="Garamond" w:hAnsi="Garamond"/>
        </w:rPr>
        <w:t xml:space="preserve">instructors will engage </w:t>
      </w:r>
      <w:r w:rsidRPr="00427007">
        <w:rPr>
          <w:rFonts w:ascii="Garamond" w:hAnsi="Garamond"/>
        </w:rPr>
        <w:t xml:space="preserve">in the assessment of </w:t>
      </w:r>
      <w:r>
        <w:rPr>
          <w:rFonts w:ascii="Garamond" w:hAnsi="Garamond"/>
        </w:rPr>
        <w:t xml:space="preserve">their own </w:t>
      </w:r>
      <w:r w:rsidRPr="00427007">
        <w:rPr>
          <w:rFonts w:ascii="Garamond" w:hAnsi="Garamond"/>
        </w:rPr>
        <w:t>student</w:t>
      </w:r>
      <w:r>
        <w:rPr>
          <w:rFonts w:ascii="Garamond" w:hAnsi="Garamond"/>
        </w:rPr>
        <w:t>s’</w:t>
      </w:r>
      <w:r w:rsidRPr="00427007">
        <w:rPr>
          <w:rFonts w:ascii="Garamond" w:hAnsi="Garamond"/>
        </w:rPr>
        <w:t xml:space="preserve"> learning in </w:t>
      </w:r>
      <w:r>
        <w:rPr>
          <w:rFonts w:ascii="Garamond" w:hAnsi="Garamond"/>
        </w:rPr>
        <w:t>Gen Ed</w:t>
      </w:r>
      <w:r w:rsidR="008A441F">
        <w:rPr>
          <w:rFonts w:ascii="Garamond" w:hAnsi="Garamond"/>
        </w:rPr>
        <w:t xml:space="preserve"> in a </w:t>
      </w:r>
      <w:r w:rsidR="008A441F" w:rsidRPr="00F1249A">
        <w:rPr>
          <w:rFonts w:ascii="Garamond" w:hAnsi="Garamond"/>
        </w:rPr>
        <w:t xml:space="preserve">Fall 2016 </w:t>
      </w:r>
      <w:r w:rsidR="008A441F">
        <w:rPr>
          <w:rFonts w:ascii="Garamond" w:hAnsi="Garamond"/>
        </w:rPr>
        <w:t xml:space="preserve">pilot process to be implemented in </w:t>
      </w:r>
      <w:r w:rsidR="008A441F" w:rsidRPr="00F1249A">
        <w:rPr>
          <w:rFonts w:ascii="Garamond" w:hAnsi="Garamond"/>
        </w:rPr>
        <w:t xml:space="preserve">parallel </w:t>
      </w:r>
      <w:r w:rsidR="0079496C">
        <w:rPr>
          <w:rFonts w:ascii="Garamond" w:hAnsi="Garamond"/>
        </w:rPr>
        <w:t xml:space="preserve">to </w:t>
      </w:r>
      <w:r w:rsidR="008A441F" w:rsidRPr="00F1249A">
        <w:rPr>
          <w:rFonts w:ascii="Garamond" w:hAnsi="Garamond"/>
        </w:rPr>
        <w:t xml:space="preserve">ongoing </w:t>
      </w:r>
      <w:r w:rsidR="0079496C">
        <w:rPr>
          <w:rFonts w:ascii="Garamond" w:hAnsi="Garamond"/>
        </w:rPr>
        <w:t xml:space="preserve">assessment team </w:t>
      </w:r>
      <w:r w:rsidR="008A441F" w:rsidRPr="00F1249A">
        <w:rPr>
          <w:rFonts w:ascii="Garamond" w:hAnsi="Garamond"/>
        </w:rPr>
        <w:t>work.</w:t>
      </w:r>
    </w:p>
    <w:p w:rsidR="00F1249A" w:rsidRPr="00F22CCC" w:rsidRDefault="00AA6754" w:rsidP="00F1249A">
      <w:pPr>
        <w:pStyle w:val="TableParagraph"/>
        <w:numPr>
          <w:ilvl w:val="1"/>
          <w:numId w:val="1"/>
        </w:numPr>
        <w:ind w:right="38"/>
        <w:rPr>
          <w:rFonts w:ascii="Garamond" w:hAnsi="Garamond"/>
        </w:rPr>
      </w:pPr>
      <w:r w:rsidRPr="00F1249A">
        <w:rPr>
          <w:rFonts w:ascii="Garamond" w:hAnsi="Garamond"/>
        </w:rPr>
        <w:t xml:space="preserve">Faculty will be assured that </w:t>
      </w:r>
      <w:r w:rsidRPr="00F1249A">
        <w:rPr>
          <w:rFonts w:ascii="Garamond" w:eastAsiaTheme="minorEastAsia" w:hAnsi="Garamond" w:cs="Times New Roman"/>
        </w:rPr>
        <w:t>the purpose of direct assessment of student learning is to inform faculty development initiatives, improve curriculum and instruction, and enhance student success—not to assess faculty teaching performance.</w:t>
      </w:r>
      <w:r w:rsidRPr="00F1249A">
        <w:rPr>
          <w:rFonts w:ascii="Garamond" w:hAnsi="Garamond"/>
        </w:rPr>
        <w:t xml:space="preserve"> </w:t>
      </w:r>
      <w:r w:rsidR="00F22CCC" w:rsidRPr="00F1249A">
        <w:rPr>
          <w:rFonts w:ascii="Garamond" w:hAnsi="Garamond"/>
        </w:rPr>
        <w:t xml:space="preserve">It is essential that </w:t>
      </w:r>
      <w:r w:rsidR="00F22CCC">
        <w:rPr>
          <w:rFonts w:ascii="Garamond" w:hAnsi="Garamond"/>
        </w:rPr>
        <w:t xml:space="preserve">they </w:t>
      </w:r>
      <w:r w:rsidR="00F22CCC" w:rsidRPr="00F1249A">
        <w:rPr>
          <w:rFonts w:ascii="Garamond" w:hAnsi="Garamond"/>
        </w:rPr>
        <w:t>understand the pr</w:t>
      </w:r>
      <w:r w:rsidR="00F22CCC">
        <w:rPr>
          <w:rFonts w:ascii="Garamond" w:hAnsi="Garamond"/>
        </w:rPr>
        <w:t xml:space="preserve">oper use of assessment results and </w:t>
      </w:r>
      <w:r w:rsidR="00F22CCC" w:rsidRPr="00F1249A">
        <w:rPr>
          <w:rFonts w:ascii="Garamond" w:hAnsi="Garamond"/>
        </w:rPr>
        <w:t xml:space="preserve">know their honest participation in the assessment of their own students’ learning will not be used against them. </w:t>
      </w:r>
    </w:p>
    <w:p w:rsidR="00F1249A" w:rsidRDefault="00AA6754" w:rsidP="00F1249A">
      <w:pPr>
        <w:pStyle w:val="TableParagraph"/>
        <w:numPr>
          <w:ilvl w:val="1"/>
          <w:numId w:val="1"/>
        </w:numPr>
        <w:ind w:right="38"/>
        <w:rPr>
          <w:rFonts w:ascii="Garamond" w:hAnsi="Garamond"/>
        </w:rPr>
      </w:pPr>
      <w:r w:rsidRPr="00F1249A">
        <w:rPr>
          <w:rFonts w:ascii="Garamond" w:hAnsi="Garamond"/>
        </w:rPr>
        <w:t>Faculty will be trained in the use of the program assessment rubrics to score their own students’ coursework.</w:t>
      </w:r>
    </w:p>
    <w:p w:rsidR="00F1249A" w:rsidRDefault="00AA6754" w:rsidP="00F1249A">
      <w:pPr>
        <w:pStyle w:val="TableParagraph"/>
        <w:numPr>
          <w:ilvl w:val="1"/>
          <w:numId w:val="1"/>
        </w:numPr>
        <w:ind w:right="38"/>
        <w:rPr>
          <w:rFonts w:ascii="Garamond" w:hAnsi="Garamond"/>
        </w:rPr>
      </w:pPr>
      <w:r w:rsidRPr="00F1249A">
        <w:rPr>
          <w:rFonts w:ascii="Garamond" w:hAnsi="Garamond"/>
        </w:rPr>
        <w:t xml:space="preserve">Faculty will be asked to complete assessment rubrics on Tk20 for their own students’ signature assignments. </w:t>
      </w:r>
    </w:p>
    <w:p w:rsidR="00F1249A" w:rsidRDefault="00AA6754" w:rsidP="00F1249A">
      <w:pPr>
        <w:pStyle w:val="TableParagraph"/>
        <w:numPr>
          <w:ilvl w:val="1"/>
          <w:numId w:val="1"/>
        </w:numPr>
        <w:ind w:right="38"/>
        <w:rPr>
          <w:rFonts w:ascii="Garamond" w:hAnsi="Garamond"/>
        </w:rPr>
      </w:pPr>
      <w:r w:rsidRPr="00F1249A">
        <w:rPr>
          <w:rFonts w:ascii="Garamond" w:hAnsi="Garamond"/>
        </w:rPr>
        <w:t xml:space="preserve">Data resulting from the work of the assessment team will be kept separate from data resulting from the assessment work of Gen Ed instructors completing rubrics for their own students’ SAs. </w:t>
      </w:r>
    </w:p>
    <w:p w:rsidR="00AA6754" w:rsidRPr="007C77A2" w:rsidRDefault="00AA6754" w:rsidP="00F1249A">
      <w:pPr>
        <w:pStyle w:val="TableParagraph"/>
        <w:numPr>
          <w:ilvl w:val="1"/>
          <w:numId w:val="1"/>
        </w:numPr>
        <w:ind w:right="38"/>
        <w:rPr>
          <w:rFonts w:ascii="Garamond" w:hAnsi="Garamond"/>
        </w:rPr>
      </w:pPr>
      <w:r w:rsidRPr="00F1249A">
        <w:rPr>
          <w:rFonts w:ascii="Garamond" w:hAnsi="Garamond"/>
        </w:rPr>
        <w:t>Data collected in the pilot will be reportable only in the aggregate.</w:t>
      </w:r>
    </w:p>
    <w:p w:rsidR="007C77A2" w:rsidRDefault="007C77A2" w:rsidP="00585626"/>
    <w:p w:rsidR="004A5B6A" w:rsidRDefault="00585626" w:rsidP="00585626">
      <w:r>
        <w:t xml:space="preserve">Strategy 8: </w:t>
      </w:r>
      <w:r w:rsidR="002426A4">
        <w:tab/>
      </w:r>
      <w:r>
        <w:t>Universalize Closing-the-Loop Efforts (Faculty Respond to Assessment Results)</w:t>
      </w:r>
    </w:p>
    <w:p w:rsidR="002F6BB3" w:rsidRDefault="002F6BB3" w:rsidP="00585626"/>
    <w:p w:rsidR="00DD5644" w:rsidRDefault="003F6AB0" w:rsidP="00DD5644">
      <w:pPr>
        <w:pStyle w:val="TableParagraph"/>
        <w:numPr>
          <w:ilvl w:val="1"/>
          <w:numId w:val="1"/>
        </w:numPr>
        <w:ind w:right="38"/>
        <w:rPr>
          <w:rFonts w:ascii="Garamond" w:hAnsi="Garamond"/>
        </w:rPr>
      </w:pPr>
      <w:r>
        <w:rPr>
          <w:rFonts w:ascii="Garamond" w:hAnsi="Garamond"/>
        </w:rPr>
        <w:t xml:space="preserve">Direct knowledge of assessment results for their own classes will empower faculty to </w:t>
      </w:r>
      <w:r w:rsidR="00BE6E48">
        <w:rPr>
          <w:rFonts w:ascii="Garamond" w:hAnsi="Garamond"/>
        </w:rPr>
        <w:t xml:space="preserve">design and implement </w:t>
      </w:r>
      <w:r>
        <w:rPr>
          <w:rFonts w:ascii="Garamond" w:hAnsi="Garamond"/>
        </w:rPr>
        <w:t>regular targeted adjustments to curriculum and instruction to improve student outcomes.</w:t>
      </w:r>
      <w:r w:rsidR="00DD5644">
        <w:rPr>
          <w:rFonts w:ascii="Garamond" w:hAnsi="Garamond"/>
        </w:rPr>
        <w:t xml:space="preserve"> </w:t>
      </w:r>
    </w:p>
    <w:p w:rsidR="00DD5644" w:rsidRDefault="00DD5644" w:rsidP="00DD5644">
      <w:pPr>
        <w:pStyle w:val="TableParagraph"/>
        <w:numPr>
          <w:ilvl w:val="1"/>
          <w:numId w:val="1"/>
        </w:numPr>
        <w:ind w:right="38"/>
        <w:rPr>
          <w:rFonts w:ascii="Garamond" w:hAnsi="Garamond"/>
        </w:rPr>
      </w:pPr>
      <w:r>
        <w:rPr>
          <w:rFonts w:ascii="Garamond" w:hAnsi="Garamond"/>
        </w:rPr>
        <w:t xml:space="preserve">Increased </w:t>
      </w:r>
      <w:r w:rsidRPr="002F6BB3">
        <w:rPr>
          <w:rFonts w:ascii="Garamond" w:hAnsi="Garamond"/>
        </w:rPr>
        <w:t>faculty involvement in assessment</w:t>
      </w:r>
      <w:r>
        <w:rPr>
          <w:rFonts w:ascii="Garamond" w:hAnsi="Garamond"/>
        </w:rPr>
        <w:t xml:space="preserve"> will improve their sense of connection to the assessment process and </w:t>
      </w:r>
      <w:r w:rsidRPr="002F6BB3">
        <w:rPr>
          <w:rFonts w:ascii="Garamond" w:hAnsi="Garamond"/>
        </w:rPr>
        <w:t xml:space="preserve">have </w:t>
      </w:r>
      <w:r w:rsidR="00770AA9">
        <w:rPr>
          <w:rFonts w:ascii="Garamond" w:hAnsi="Garamond"/>
        </w:rPr>
        <w:t xml:space="preserve">a greater </w:t>
      </w:r>
      <w:r w:rsidRPr="002F6BB3">
        <w:rPr>
          <w:rFonts w:ascii="Garamond" w:hAnsi="Garamond"/>
        </w:rPr>
        <w:t>investment in the results</w:t>
      </w:r>
      <w:r>
        <w:rPr>
          <w:rFonts w:ascii="Garamond" w:hAnsi="Garamond"/>
        </w:rPr>
        <w:t xml:space="preserve">. </w:t>
      </w:r>
    </w:p>
    <w:p w:rsidR="00BA79D3" w:rsidRPr="00CF7025" w:rsidRDefault="00770AA9" w:rsidP="00585626">
      <w:pPr>
        <w:pStyle w:val="TableParagraph"/>
        <w:numPr>
          <w:ilvl w:val="1"/>
          <w:numId w:val="1"/>
        </w:numPr>
        <w:ind w:right="38"/>
        <w:rPr>
          <w:rFonts w:ascii="Garamond" w:hAnsi="Garamond"/>
        </w:rPr>
      </w:pPr>
      <w:r>
        <w:rPr>
          <w:rFonts w:ascii="Garamond" w:hAnsi="Garamond"/>
        </w:rPr>
        <w:t>F</w:t>
      </w:r>
      <w:r w:rsidR="00DD5644">
        <w:rPr>
          <w:rFonts w:ascii="Garamond" w:hAnsi="Garamond"/>
        </w:rPr>
        <w:t xml:space="preserve">aculty involvement in assessment activities </w:t>
      </w:r>
      <w:r>
        <w:rPr>
          <w:rFonts w:ascii="Garamond" w:hAnsi="Garamond"/>
        </w:rPr>
        <w:t xml:space="preserve">will </w:t>
      </w:r>
      <w:r w:rsidR="00DD5644">
        <w:rPr>
          <w:rFonts w:ascii="Garamond" w:hAnsi="Garamond"/>
        </w:rPr>
        <w:t xml:space="preserve">support </w:t>
      </w:r>
      <w:r w:rsidR="00DD5644" w:rsidRPr="002F6BB3">
        <w:rPr>
          <w:rFonts w:ascii="Garamond" w:hAnsi="Garamond"/>
        </w:rPr>
        <w:t>effective closing-the-loop activities</w:t>
      </w:r>
      <w:r w:rsidR="00DD5644">
        <w:rPr>
          <w:rFonts w:ascii="Garamond" w:hAnsi="Garamond"/>
        </w:rPr>
        <w:t>, given that such activities—designed in response to assessment results—must be undertaken by faculty, in the classroom, in response to assessment results</w:t>
      </w:r>
      <w:r w:rsidR="00DD5644" w:rsidRPr="002F6BB3">
        <w:rPr>
          <w:rFonts w:ascii="Garamond" w:hAnsi="Garamond"/>
        </w:rPr>
        <w:t>.</w:t>
      </w:r>
    </w:p>
    <w:p w:rsidR="003B5C00" w:rsidRDefault="003B5C00" w:rsidP="00BA79D3">
      <w:pPr>
        <w:jc w:val="center"/>
        <w:rPr>
          <w:b/>
        </w:rPr>
      </w:pPr>
    </w:p>
    <w:p w:rsidR="00BA79D3" w:rsidRPr="009D123C" w:rsidRDefault="00BA79D3" w:rsidP="006F746B">
      <w:pPr>
        <w:pStyle w:val="TableParagraph"/>
        <w:ind w:right="38"/>
        <w:jc w:val="center"/>
        <w:rPr>
          <w:rFonts w:ascii="Garamond" w:hAnsi="Garamond"/>
          <w:b/>
          <w:sz w:val="24"/>
          <w:szCs w:val="24"/>
        </w:rPr>
      </w:pPr>
      <w:r w:rsidRPr="009D123C">
        <w:rPr>
          <w:rFonts w:ascii="Garamond" w:hAnsi="Garamond"/>
          <w:b/>
          <w:sz w:val="24"/>
          <w:szCs w:val="24"/>
        </w:rPr>
        <w:t>Fall 2015 General Education Assessment Results</w:t>
      </w:r>
    </w:p>
    <w:p w:rsidR="00BA79D3" w:rsidRPr="00D14F6D" w:rsidRDefault="00BA79D3" w:rsidP="00BA79D3">
      <w:pPr>
        <w:pStyle w:val="TableParagraph"/>
        <w:ind w:right="38"/>
        <w:rPr>
          <w:rFonts w:ascii="Garamond" w:hAnsi="Garamond"/>
        </w:rPr>
      </w:pPr>
    </w:p>
    <w:p w:rsidR="00BA79D3" w:rsidRPr="009D123C" w:rsidRDefault="00BA79D3" w:rsidP="00BA79D3">
      <w:pPr>
        <w:rPr>
          <w:sz w:val="24"/>
          <w:szCs w:val="24"/>
        </w:rPr>
      </w:pPr>
      <w:r w:rsidRPr="009D123C">
        <w:rPr>
          <w:sz w:val="24"/>
          <w:szCs w:val="24"/>
        </w:rPr>
        <w:t xml:space="preserve">The above action plan responds to Fall 2015 assessment results for Critical Thinking and Problem-Solving, Oral Communication, and Written Communication, the main findings of which are presented </w:t>
      </w:r>
      <w:r w:rsidR="007F780C" w:rsidRPr="009D123C">
        <w:rPr>
          <w:sz w:val="24"/>
          <w:szCs w:val="24"/>
        </w:rPr>
        <w:t xml:space="preserve">in brief </w:t>
      </w:r>
      <w:r w:rsidRPr="009D123C">
        <w:rPr>
          <w:sz w:val="24"/>
          <w:szCs w:val="24"/>
        </w:rPr>
        <w:t xml:space="preserve">below. </w:t>
      </w:r>
      <w:r w:rsidR="00B26D2A" w:rsidRPr="009D123C">
        <w:rPr>
          <w:sz w:val="24"/>
          <w:szCs w:val="24"/>
        </w:rPr>
        <w:t xml:space="preserve">A </w:t>
      </w:r>
      <w:r w:rsidR="00DB1546" w:rsidRPr="009D123C">
        <w:rPr>
          <w:sz w:val="24"/>
          <w:szCs w:val="24"/>
        </w:rPr>
        <w:t xml:space="preserve">full </w:t>
      </w:r>
      <w:r w:rsidR="00B26D2A" w:rsidRPr="009D123C">
        <w:rPr>
          <w:sz w:val="24"/>
          <w:szCs w:val="24"/>
        </w:rPr>
        <w:t xml:space="preserve">report on the </w:t>
      </w:r>
      <w:r w:rsidR="00DB1546" w:rsidRPr="009D123C">
        <w:rPr>
          <w:sz w:val="24"/>
          <w:szCs w:val="24"/>
        </w:rPr>
        <w:t xml:space="preserve">Fall 2015 </w:t>
      </w:r>
      <w:r w:rsidR="00B26D2A" w:rsidRPr="009D123C">
        <w:rPr>
          <w:sz w:val="24"/>
          <w:szCs w:val="24"/>
        </w:rPr>
        <w:t>ass</w:t>
      </w:r>
      <w:r w:rsidR="009B1182" w:rsidRPr="009D123C">
        <w:rPr>
          <w:sz w:val="24"/>
          <w:szCs w:val="24"/>
        </w:rPr>
        <w:t xml:space="preserve">essment results is available on </w:t>
      </w:r>
      <w:r w:rsidR="00B26D2A" w:rsidRPr="009D123C">
        <w:rPr>
          <w:sz w:val="24"/>
          <w:szCs w:val="24"/>
        </w:rPr>
        <w:t xml:space="preserve">GothicNet. </w:t>
      </w:r>
    </w:p>
    <w:p w:rsidR="00BA79D3" w:rsidRDefault="00BA79D3" w:rsidP="00BA79D3">
      <w:pPr>
        <w:rPr>
          <w:b/>
        </w:rPr>
      </w:pPr>
    </w:p>
    <w:p w:rsidR="00BA79D3" w:rsidRPr="009A30AF" w:rsidRDefault="00BA79D3" w:rsidP="009D123C">
      <w:pPr>
        <w:jc w:val="center"/>
      </w:pPr>
      <w:r w:rsidRPr="00D14F6D">
        <w:rPr>
          <w:b/>
        </w:rPr>
        <w:t xml:space="preserve">Critical Thinking </w:t>
      </w:r>
      <w:r>
        <w:rPr>
          <w:b/>
        </w:rPr>
        <w:t xml:space="preserve">and Problem-Solving </w:t>
      </w:r>
      <w:r w:rsidRPr="00D14F6D">
        <w:rPr>
          <w:b/>
        </w:rPr>
        <w:t>Results</w:t>
      </w:r>
    </w:p>
    <w:p w:rsidR="00BA79D3" w:rsidRPr="00D14F6D" w:rsidRDefault="00BA79D3" w:rsidP="00BA79D3">
      <w:pPr>
        <w:rPr>
          <w:u w:val="single"/>
        </w:rPr>
      </w:pPr>
      <w:r>
        <w:rPr>
          <w:u w:val="single"/>
        </w:rPr>
        <w:t xml:space="preserve">Of Note </w:t>
      </w:r>
    </w:p>
    <w:p w:rsidR="00BA79D3" w:rsidRPr="00D14F6D" w:rsidRDefault="00BA79D3" w:rsidP="00BA79D3">
      <w:pPr>
        <w:pStyle w:val="ListParagraph"/>
        <w:widowControl/>
        <w:numPr>
          <w:ilvl w:val="0"/>
          <w:numId w:val="3"/>
        </w:numPr>
        <w:contextualSpacing/>
        <w:rPr>
          <w:rFonts w:ascii="Garamond" w:hAnsi="Garamond"/>
        </w:rPr>
      </w:pPr>
      <w:r w:rsidRPr="00D14F6D">
        <w:rPr>
          <w:rFonts w:ascii="Garamond" w:hAnsi="Garamond"/>
        </w:rPr>
        <w:t xml:space="preserve">In Tier 1 courses, students did best on </w:t>
      </w:r>
      <w:r w:rsidRPr="00D14F6D">
        <w:rPr>
          <w:rFonts w:ascii="Garamond" w:hAnsi="Garamond"/>
          <w:i/>
        </w:rPr>
        <w:t>Topic Identification</w:t>
      </w:r>
      <w:r w:rsidRPr="00D14F6D">
        <w:rPr>
          <w:rFonts w:ascii="Garamond" w:hAnsi="Garamond"/>
        </w:rPr>
        <w:t xml:space="preserve">, with 80% at or above Tier 1. Although </w:t>
      </w:r>
      <w:r w:rsidRPr="00D14F6D">
        <w:rPr>
          <w:rFonts w:ascii="Garamond" w:hAnsi="Garamond"/>
          <w:i/>
        </w:rPr>
        <w:t>a priori</w:t>
      </w:r>
      <w:r w:rsidRPr="00D14F6D">
        <w:rPr>
          <w:rFonts w:ascii="Garamond" w:hAnsi="Garamond"/>
        </w:rPr>
        <w:t xml:space="preserve"> targets for performance on dimensions were not set, 80% is a common target for program-level student learning outcomes assessment. </w:t>
      </w:r>
    </w:p>
    <w:p w:rsidR="00BA79D3" w:rsidRPr="00D14F6D" w:rsidRDefault="00BA79D3" w:rsidP="00BA79D3">
      <w:pPr>
        <w:pStyle w:val="ListParagraph"/>
        <w:widowControl/>
        <w:numPr>
          <w:ilvl w:val="0"/>
          <w:numId w:val="3"/>
        </w:numPr>
        <w:contextualSpacing/>
        <w:rPr>
          <w:rFonts w:ascii="Garamond" w:hAnsi="Garamond"/>
        </w:rPr>
      </w:pPr>
      <w:r w:rsidRPr="00D14F6D">
        <w:rPr>
          <w:rFonts w:ascii="Garamond" w:hAnsi="Garamond"/>
        </w:rPr>
        <w:t xml:space="preserve">Also in Tier 1, the dimension related to </w:t>
      </w:r>
      <w:r w:rsidRPr="00D14F6D">
        <w:rPr>
          <w:rFonts w:ascii="Garamond" w:hAnsi="Garamond"/>
          <w:i/>
        </w:rPr>
        <w:t>Influence of Context</w:t>
      </w:r>
      <w:r w:rsidRPr="00D14F6D">
        <w:rPr>
          <w:rFonts w:ascii="Garamond" w:hAnsi="Garamond"/>
        </w:rPr>
        <w:t xml:space="preserve"> appeared to be most challenging, with only 40% at or above Tier 1. It also has the highest percentage below benchmark in Tier 1 and Tier 2.</w:t>
      </w:r>
    </w:p>
    <w:p w:rsidR="00BA79D3" w:rsidRPr="00D14F6D" w:rsidRDefault="00BA79D3" w:rsidP="00BA79D3">
      <w:pPr>
        <w:pStyle w:val="ListParagraph"/>
        <w:widowControl/>
        <w:numPr>
          <w:ilvl w:val="0"/>
          <w:numId w:val="3"/>
        </w:numPr>
        <w:contextualSpacing/>
        <w:rPr>
          <w:rFonts w:ascii="Garamond" w:hAnsi="Garamond"/>
        </w:rPr>
      </w:pPr>
      <w:r w:rsidRPr="00D14F6D">
        <w:rPr>
          <w:rFonts w:ascii="Garamond" w:hAnsi="Garamond"/>
        </w:rPr>
        <w:t xml:space="preserve">In Tier 2 courses, </w:t>
      </w:r>
      <w:r w:rsidRPr="00D14F6D">
        <w:rPr>
          <w:rFonts w:ascii="Garamond" w:hAnsi="Garamond"/>
          <w:i/>
        </w:rPr>
        <w:t xml:space="preserve">Topic Identification </w:t>
      </w:r>
      <w:r w:rsidRPr="00D14F6D">
        <w:rPr>
          <w:rFonts w:ascii="Garamond" w:hAnsi="Garamond"/>
        </w:rPr>
        <w:t>again showed the strongest performance, with 52% at or above Tier 2. The number of artifacts reviewed at this tier was limited.</w:t>
      </w:r>
    </w:p>
    <w:p w:rsidR="00BA79D3" w:rsidRPr="00D14F6D" w:rsidRDefault="00BA79D3" w:rsidP="00BA79D3">
      <w:pPr>
        <w:pStyle w:val="ListParagraph"/>
        <w:widowControl/>
        <w:numPr>
          <w:ilvl w:val="0"/>
          <w:numId w:val="3"/>
        </w:numPr>
        <w:contextualSpacing/>
        <w:rPr>
          <w:rFonts w:ascii="Garamond" w:hAnsi="Garamond"/>
        </w:rPr>
      </w:pPr>
      <w:r w:rsidRPr="00D14F6D">
        <w:rPr>
          <w:rFonts w:ascii="Garamond" w:hAnsi="Garamond"/>
        </w:rPr>
        <w:t>Juror agreement is poor, ranging from 28% to 44% across dimensions.  In some cases, there were 3- or 4-point differences in ratings.</w:t>
      </w:r>
    </w:p>
    <w:p w:rsidR="00BA79D3" w:rsidRPr="003722BF" w:rsidRDefault="00BA79D3" w:rsidP="00BA79D3">
      <w:pPr>
        <w:pStyle w:val="ListParagraph"/>
        <w:widowControl/>
        <w:numPr>
          <w:ilvl w:val="0"/>
          <w:numId w:val="3"/>
        </w:numPr>
        <w:contextualSpacing/>
        <w:rPr>
          <w:rFonts w:ascii="Garamond" w:hAnsi="Garamond"/>
        </w:rPr>
      </w:pPr>
      <w:r w:rsidRPr="00D14F6D">
        <w:rPr>
          <w:rFonts w:ascii="Garamond" w:hAnsi="Garamond"/>
        </w:rPr>
        <w:t xml:space="preserve">Between 12% and 16% of jurors selected NA for each of the dimensions. </w:t>
      </w:r>
    </w:p>
    <w:p w:rsidR="00BA79D3" w:rsidRDefault="00BA79D3" w:rsidP="00BA79D3">
      <w:pPr>
        <w:rPr>
          <w:u w:val="single"/>
        </w:rPr>
      </w:pPr>
    </w:p>
    <w:p w:rsidR="00CF7025" w:rsidRDefault="00CF7025" w:rsidP="00BA79D3">
      <w:pPr>
        <w:rPr>
          <w:u w:val="single"/>
        </w:rPr>
      </w:pPr>
    </w:p>
    <w:p w:rsidR="00BA79D3" w:rsidRPr="00620A61" w:rsidRDefault="00BA79D3" w:rsidP="00BA79D3">
      <w:pPr>
        <w:rPr>
          <w:u w:val="single"/>
        </w:rPr>
      </w:pPr>
      <w:r w:rsidRPr="00620A61">
        <w:rPr>
          <w:u w:val="single"/>
        </w:rPr>
        <w:t>Critical Thinking Artifact Ratings, Tier 1</w:t>
      </w:r>
    </w:p>
    <w:tbl>
      <w:tblPr>
        <w:tblW w:w="5000" w:type="pct"/>
        <w:tblLayout w:type="fixed"/>
        <w:tblLook w:val="04A0" w:firstRow="1" w:lastRow="0" w:firstColumn="1" w:lastColumn="0" w:noHBand="0" w:noVBand="1"/>
      </w:tblPr>
      <w:tblGrid>
        <w:gridCol w:w="2907"/>
        <w:gridCol w:w="880"/>
        <w:gridCol w:w="967"/>
        <w:gridCol w:w="880"/>
        <w:gridCol w:w="1231"/>
        <w:gridCol w:w="1211"/>
        <w:gridCol w:w="1068"/>
      </w:tblGrid>
      <w:tr w:rsidR="00BA79D3" w:rsidRPr="0023679A" w:rsidTr="00F10556">
        <w:trPr>
          <w:trHeight w:val="300"/>
        </w:trPr>
        <w:tc>
          <w:tcPr>
            <w:tcW w:w="1590"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48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3</w:t>
            </w:r>
          </w:p>
        </w:tc>
        <w:tc>
          <w:tcPr>
            <w:tcW w:w="529"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Tier 2 to &lt; Tier 3</w:t>
            </w:r>
          </w:p>
        </w:tc>
        <w:tc>
          <w:tcPr>
            <w:tcW w:w="48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1</w:t>
            </w:r>
            <w:r>
              <w:rPr>
                <w:rFonts w:ascii="Calibri" w:eastAsia="Times New Roman" w:hAnsi="Calibri" w:cs="Times New Roman"/>
                <w:color w:val="FFFFFF" w:themeColor="background1"/>
                <w:sz w:val="20"/>
                <w:szCs w:val="20"/>
              </w:rPr>
              <w:t xml:space="preserve"> to &lt; Tier 2</w:t>
            </w:r>
          </w:p>
        </w:tc>
        <w:tc>
          <w:tcPr>
            <w:tcW w:w="673"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Benchmark</w:t>
            </w:r>
            <w:r>
              <w:rPr>
                <w:rFonts w:ascii="Calibri" w:eastAsia="Times New Roman" w:hAnsi="Calibri" w:cs="Times New Roman"/>
                <w:color w:val="FFFFFF" w:themeColor="background1"/>
                <w:sz w:val="20"/>
                <w:szCs w:val="20"/>
              </w:rPr>
              <w:t xml:space="preserve"> to &lt; Tier 1</w:t>
            </w:r>
          </w:p>
        </w:tc>
        <w:tc>
          <w:tcPr>
            <w:tcW w:w="662"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&lt; Benchmark</w:t>
            </w:r>
          </w:p>
        </w:tc>
        <w:tc>
          <w:tcPr>
            <w:tcW w:w="584" w:type="pct"/>
            <w:tcBorders>
              <w:top w:val="nil"/>
              <w:left w:val="nil"/>
              <w:bottom w:val="dotted" w:sz="4" w:space="0" w:color="auto"/>
              <w:right w:val="nil"/>
            </w:tcBorders>
            <w:shd w:val="clear" w:color="auto" w:fill="000000" w:themeFill="text1"/>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Students</w:t>
            </w:r>
          </w:p>
        </w:tc>
      </w:tr>
      <w:tr w:rsidR="00BA79D3" w:rsidRPr="0023679A" w:rsidTr="00F10556">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Topic </w:t>
            </w:r>
            <w:r>
              <w:rPr>
                <w:rFonts w:ascii="Calibri" w:eastAsia="Times New Roman" w:hAnsi="Calibri" w:cs="Times New Roman"/>
                <w:color w:val="000000"/>
                <w:sz w:val="20"/>
                <w:szCs w:val="20"/>
              </w:rPr>
              <w:t>i</w:t>
            </w:r>
            <w:r w:rsidRPr="0023679A">
              <w:rPr>
                <w:rFonts w:ascii="Calibri" w:eastAsia="Times New Roman" w:hAnsi="Calibri" w:cs="Times New Roman"/>
                <w:color w:val="000000"/>
                <w:sz w:val="20"/>
                <w:szCs w:val="20"/>
              </w:rPr>
              <w:t>dentification</w:t>
            </w:r>
            <w:r>
              <w:rPr>
                <w:rFonts w:ascii="Calibri" w:eastAsia="Times New Roman" w:hAnsi="Calibri" w:cs="Times New Roman"/>
                <w:color w:val="000000"/>
                <w:sz w:val="20"/>
                <w:szCs w:val="20"/>
              </w:rPr>
              <w:t>, m</w:t>
            </w:r>
            <w:r w:rsidRPr="0023679A">
              <w:rPr>
                <w:rFonts w:ascii="Calibri" w:eastAsia="Times New Roman" w:hAnsi="Calibri" w:cs="Times New Roman"/>
                <w:color w:val="000000"/>
                <w:sz w:val="20"/>
                <w:szCs w:val="20"/>
              </w:rPr>
              <w:t>anagement</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27%</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54%</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15%</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5%</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164</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Explanation of issues</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16%</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54%</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25%</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5%</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166</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Evidence </w:t>
            </w:r>
            <w:r>
              <w:rPr>
                <w:rFonts w:ascii="Calibri" w:eastAsia="Times New Roman" w:hAnsi="Calibri" w:cs="Times New Roman"/>
                <w:color w:val="000000"/>
                <w:sz w:val="20"/>
                <w:szCs w:val="20"/>
              </w:rPr>
              <w:t>s</w:t>
            </w:r>
            <w:r w:rsidRPr="0023679A">
              <w:rPr>
                <w:rFonts w:ascii="Calibri" w:eastAsia="Times New Roman" w:hAnsi="Calibri" w:cs="Times New Roman"/>
                <w:color w:val="000000"/>
                <w:sz w:val="20"/>
                <w:szCs w:val="20"/>
              </w:rPr>
              <w:t>electing</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using information to investigate a point of view</w:t>
            </w:r>
            <w:r>
              <w:rPr>
                <w:rFonts w:ascii="Calibri" w:eastAsia="Times New Roman" w:hAnsi="Calibri" w:cs="Times New Roman"/>
                <w:color w:val="000000"/>
                <w:sz w:val="20"/>
                <w:szCs w:val="20"/>
              </w:rPr>
              <w:t>/</w:t>
            </w:r>
            <w:r w:rsidRPr="0023679A">
              <w:rPr>
                <w:rFonts w:ascii="Calibri" w:eastAsia="Times New Roman" w:hAnsi="Calibri" w:cs="Times New Roman"/>
                <w:color w:val="000000"/>
                <w:sz w:val="20"/>
                <w:szCs w:val="20"/>
              </w:rPr>
              <w:t>conclusion</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8%</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43%</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40%</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8%</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166</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Influence of context</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assumptions</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6%</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34%</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47%</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13%</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163</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Student's position (perspective, thesis/hypothesis)</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8%</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41%</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44%</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7%</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166</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Theoretical f</w:t>
            </w:r>
            <w:r w:rsidRPr="0023679A">
              <w:rPr>
                <w:rFonts w:ascii="Calibri" w:eastAsia="Times New Roman" w:hAnsi="Calibri" w:cs="Times New Roman"/>
                <w:color w:val="000000"/>
                <w:sz w:val="20"/>
                <w:szCs w:val="20"/>
              </w:rPr>
              <w:t>ramework</w:t>
            </w:r>
            <w:r>
              <w:rPr>
                <w:rFonts w:ascii="Calibri" w:eastAsia="Times New Roman" w:hAnsi="Calibri" w:cs="Times New Roman"/>
                <w:color w:val="000000"/>
                <w:sz w:val="20"/>
                <w:szCs w:val="20"/>
              </w:rPr>
              <w:t>, a</w:t>
            </w:r>
            <w:r w:rsidRPr="0023679A">
              <w:rPr>
                <w:rFonts w:ascii="Calibri" w:eastAsia="Times New Roman" w:hAnsi="Calibri" w:cs="Times New Roman"/>
                <w:color w:val="000000"/>
                <w:sz w:val="20"/>
                <w:szCs w:val="20"/>
              </w:rPr>
              <w:t>pproach</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w:t>
            </w:r>
          </w:p>
        </w:tc>
        <w:tc>
          <w:tcPr>
            <w:tcW w:w="529"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15%</w:t>
            </w:r>
          </w:p>
        </w:tc>
        <w:tc>
          <w:tcPr>
            <w:tcW w:w="481"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47%</w:t>
            </w:r>
          </w:p>
        </w:tc>
        <w:tc>
          <w:tcPr>
            <w:tcW w:w="673"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29%</w:t>
            </w:r>
          </w:p>
        </w:tc>
        <w:tc>
          <w:tcPr>
            <w:tcW w:w="662" w:type="pct"/>
            <w:tcBorders>
              <w:top w:val="dotted" w:sz="4" w:space="0" w:color="auto"/>
              <w:left w:val="nil"/>
              <w:bottom w:val="dotted"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8%</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165</w:t>
            </w:r>
          </w:p>
        </w:tc>
      </w:tr>
      <w:tr w:rsidR="00BA79D3" w:rsidRPr="0023679A" w:rsidTr="00F10556">
        <w:trPr>
          <w:trHeight w:val="300"/>
        </w:trPr>
        <w:tc>
          <w:tcPr>
            <w:tcW w:w="1590" w:type="pct"/>
            <w:tcBorders>
              <w:top w:val="dotted" w:sz="4" w:space="0" w:color="auto"/>
              <w:left w:val="nil"/>
              <w:bottom w:val="single"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Conclusions and related outcomes </w:t>
            </w:r>
          </w:p>
        </w:tc>
        <w:tc>
          <w:tcPr>
            <w:tcW w:w="481" w:type="pct"/>
            <w:tcBorders>
              <w:top w:val="dotted" w:sz="4" w:space="0" w:color="auto"/>
              <w:left w:val="nil"/>
              <w:bottom w:val="single"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1%</w:t>
            </w:r>
          </w:p>
        </w:tc>
        <w:tc>
          <w:tcPr>
            <w:tcW w:w="529" w:type="pct"/>
            <w:tcBorders>
              <w:top w:val="dotted" w:sz="4" w:space="0" w:color="auto"/>
              <w:left w:val="nil"/>
              <w:bottom w:val="single"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6%</w:t>
            </w:r>
          </w:p>
        </w:tc>
        <w:tc>
          <w:tcPr>
            <w:tcW w:w="481" w:type="pct"/>
            <w:tcBorders>
              <w:top w:val="dotted" w:sz="4" w:space="0" w:color="auto"/>
              <w:left w:val="nil"/>
              <w:bottom w:val="single"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47%</w:t>
            </w:r>
          </w:p>
        </w:tc>
        <w:tc>
          <w:tcPr>
            <w:tcW w:w="673" w:type="pct"/>
            <w:tcBorders>
              <w:top w:val="dotted" w:sz="4" w:space="0" w:color="auto"/>
              <w:left w:val="nil"/>
              <w:bottom w:val="single"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38%</w:t>
            </w:r>
          </w:p>
        </w:tc>
        <w:tc>
          <w:tcPr>
            <w:tcW w:w="662" w:type="pct"/>
            <w:tcBorders>
              <w:top w:val="dotted" w:sz="4" w:space="0" w:color="auto"/>
              <w:left w:val="nil"/>
              <w:bottom w:val="single" w:sz="4" w:space="0" w:color="auto"/>
              <w:right w:val="nil"/>
            </w:tcBorders>
            <w:shd w:val="clear" w:color="auto" w:fill="auto"/>
            <w:noWrap/>
            <w:vAlign w:val="bottom"/>
            <w:hideMark/>
          </w:tcPr>
          <w:p w:rsidR="00BA79D3" w:rsidRPr="00006782" w:rsidRDefault="00BA79D3" w:rsidP="00F10556">
            <w:pPr>
              <w:jc w:val="center"/>
              <w:rPr>
                <w:rFonts w:ascii="Calibri" w:eastAsia="Times New Roman" w:hAnsi="Calibri" w:cs="Times New Roman"/>
                <w:color w:val="000000"/>
              </w:rPr>
            </w:pPr>
            <w:r w:rsidRPr="00006782">
              <w:rPr>
                <w:rFonts w:ascii="Calibri" w:eastAsia="Times New Roman" w:hAnsi="Calibri" w:cs="Times New Roman"/>
                <w:color w:val="000000"/>
              </w:rPr>
              <w:t>9%</w:t>
            </w:r>
          </w:p>
        </w:tc>
        <w:tc>
          <w:tcPr>
            <w:tcW w:w="584"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165</w:t>
            </w:r>
          </w:p>
        </w:tc>
      </w:tr>
    </w:tbl>
    <w:p w:rsidR="00BA79D3" w:rsidRPr="00E4772D" w:rsidRDefault="00BA79D3" w:rsidP="00BA79D3">
      <w:pPr>
        <w:rPr>
          <w:sz w:val="16"/>
          <w:szCs w:val="16"/>
        </w:rPr>
      </w:pPr>
      <w:r w:rsidRPr="00E4772D">
        <w:rPr>
          <w:sz w:val="16"/>
          <w:szCs w:val="16"/>
        </w:rPr>
        <w:t>Scores are averaged across jurors</w:t>
      </w:r>
    </w:p>
    <w:p w:rsidR="00BA79D3" w:rsidRPr="00B26791" w:rsidRDefault="00BA79D3" w:rsidP="00BA79D3"/>
    <w:p w:rsidR="00BA79D3" w:rsidRDefault="00BA79D3" w:rsidP="00BA79D3">
      <w:pPr>
        <w:rPr>
          <w:sz w:val="24"/>
          <w:szCs w:val="24"/>
          <w:u w:val="single"/>
        </w:rPr>
      </w:pPr>
    </w:p>
    <w:tbl>
      <w:tblPr>
        <w:tblW w:w="0" w:type="auto"/>
        <w:tblInd w:w="120" w:type="dxa"/>
        <w:tblLayout w:type="fixed"/>
        <w:tblCellMar>
          <w:left w:w="0" w:type="dxa"/>
          <w:right w:w="0" w:type="dxa"/>
        </w:tblCellMar>
        <w:tblLook w:val="01E0" w:firstRow="1" w:lastRow="1" w:firstColumn="1" w:lastColumn="1" w:noHBand="0" w:noVBand="0"/>
      </w:tblPr>
      <w:tblGrid>
        <w:gridCol w:w="6894"/>
        <w:gridCol w:w="1295"/>
        <w:gridCol w:w="1171"/>
      </w:tblGrid>
      <w:tr w:rsidR="00BA79D3" w:rsidTr="00F10556">
        <w:trPr>
          <w:trHeight w:hRule="exact" w:val="487"/>
        </w:trPr>
        <w:tc>
          <w:tcPr>
            <w:tcW w:w="6894" w:type="dxa"/>
            <w:tcBorders>
              <w:top w:val="nil"/>
              <w:left w:val="nil"/>
              <w:bottom w:val="nil"/>
              <w:right w:val="nil"/>
            </w:tcBorders>
            <w:shd w:val="clear" w:color="auto" w:fill="000000"/>
          </w:tcPr>
          <w:p w:rsidR="00BA79D3" w:rsidRDefault="00BA79D3" w:rsidP="00F10556">
            <w:pPr>
              <w:pStyle w:val="TableParagraph"/>
              <w:spacing w:before="12"/>
              <w:rPr>
                <w:rFonts w:ascii="Calibri" w:eastAsia="Calibri" w:hAnsi="Calibri" w:cs="Calibri"/>
                <w:sz w:val="19"/>
                <w:szCs w:val="19"/>
              </w:rPr>
            </w:pPr>
          </w:p>
          <w:p w:rsidR="00BA79D3" w:rsidRDefault="00BA79D3" w:rsidP="00F10556">
            <w:pPr>
              <w:pStyle w:val="TableParagraph"/>
              <w:spacing w:line="243" w:lineRule="exact"/>
              <w:ind w:left="108"/>
              <w:rPr>
                <w:rFonts w:ascii="Calibri" w:eastAsia="Calibri" w:hAnsi="Calibri" w:cs="Calibri"/>
                <w:sz w:val="20"/>
                <w:szCs w:val="20"/>
              </w:rPr>
            </w:pPr>
            <w:r>
              <w:rPr>
                <w:rFonts w:ascii="Calibri"/>
                <w:color w:val="FFFFFF"/>
                <w:sz w:val="20"/>
              </w:rPr>
              <w:t>Dimension</w:t>
            </w:r>
          </w:p>
        </w:tc>
        <w:tc>
          <w:tcPr>
            <w:tcW w:w="1295" w:type="dxa"/>
            <w:tcBorders>
              <w:top w:val="nil"/>
              <w:left w:val="nil"/>
              <w:bottom w:val="nil"/>
              <w:right w:val="nil"/>
            </w:tcBorders>
            <w:shd w:val="clear" w:color="auto" w:fill="000000"/>
          </w:tcPr>
          <w:p w:rsidR="00BA79D3" w:rsidRDefault="00BA79D3" w:rsidP="00F10556">
            <w:pPr>
              <w:pStyle w:val="TableParagraph"/>
              <w:ind w:left="498" w:right="199" w:hanging="82"/>
              <w:rPr>
                <w:rFonts w:ascii="Calibri" w:eastAsia="Calibri" w:hAnsi="Calibri" w:cs="Calibri"/>
                <w:sz w:val="20"/>
                <w:szCs w:val="20"/>
              </w:rPr>
            </w:pPr>
            <w:r>
              <w:rPr>
                <w:rFonts w:ascii="Calibri"/>
                <w:color w:val="FFFFFF"/>
                <w:sz w:val="20"/>
              </w:rPr>
              <w:t>Tier 1</w:t>
            </w:r>
            <w:r>
              <w:rPr>
                <w:rFonts w:ascii="Calibri"/>
                <w:color w:val="FFFFFF"/>
                <w:spacing w:val="-6"/>
                <w:sz w:val="20"/>
              </w:rPr>
              <w:t xml:space="preserve"> </w:t>
            </w:r>
            <w:r>
              <w:rPr>
                <w:rFonts w:ascii="Calibri"/>
                <w:color w:val="FFFFFF"/>
                <w:sz w:val="20"/>
              </w:rPr>
              <w:t>or</w:t>
            </w:r>
            <w:r>
              <w:rPr>
                <w:rFonts w:ascii="Calibri"/>
                <w:color w:val="FFFFFF"/>
                <w:w w:val="99"/>
                <w:sz w:val="20"/>
              </w:rPr>
              <w:t xml:space="preserve"> </w:t>
            </w:r>
            <w:r>
              <w:rPr>
                <w:rFonts w:ascii="Calibri"/>
                <w:color w:val="FFFFFF"/>
                <w:sz w:val="20"/>
              </w:rPr>
              <w:t>Above</w:t>
            </w:r>
          </w:p>
        </w:tc>
        <w:tc>
          <w:tcPr>
            <w:tcW w:w="1171" w:type="dxa"/>
            <w:tcBorders>
              <w:top w:val="nil"/>
              <w:left w:val="nil"/>
              <w:bottom w:val="nil"/>
              <w:right w:val="nil"/>
            </w:tcBorders>
            <w:shd w:val="clear" w:color="auto" w:fill="000000"/>
          </w:tcPr>
          <w:p w:rsidR="00BA79D3" w:rsidRDefault="00BA79D3" w:rsidP="00F10556">
            <w:pPr>
              <w:pStyle w:val="TableParagraph"/>
              <w:ind w:left="580" w:right="108" w:hanging="380"/>
              <w:rPr>
                <w:rFonts w:ascii="Calibri" w:eastAsia="Calibri" w:hAnsi="Calibri" w:cs="Calibri"/>
                <w:sz w:val="20"/>
                <w:szCs w:val="20"/>
              </w:rPr>
            </w:pPr>
            <w:r>
              <w:rPr>
                <w:rFonts w:ascii="Calibri"/>
                <w:color w:val="FFFFFF"/>
                <w:sz w:val="20"/>
              </w:rPr>
              <w:t>Below</w:t>
            </w:r>
            <w:r>
              <w:rPr>
                <w:rFonts w:ascii="Calibri"/>
                <w:color w:val="FFFFFF"/>
                <w:spacing w:val="-5"/>
                <w:sz w:val="20"/>
              </w:rPr>
              <w:t xml:space="preserve"> </w:t>
            </w:r>
            <w:r>
              <w:rPr>
                <w:rFonts w:ascii="Calibri"/>
                <w:color w:val="FFFFFF"/>
                <w:sz w:val="20"/>
              </w:rPr>
              <w:t>Tier</w:t>
            </w:r>
            <w:r>
              <w:rPr>
                <w:rFonts w:ascii="Calibri"/>
                <w:color w:val="FFFFFF"/>
                <w:w w:val="99"/>
                <w:sz w:val="20"/>
              </w:rPr>
              <w:t xml:space="preserve"> </w:t>
            </w:r>
            <w:r>
              <w:rPr>
                <w:rFonts w:ascii="Calibri"/>
                <w:color w:val="FFFFFF"/>
                <w:sz w:val="20"/>
              </w:rPr>
              <w:t>1</w:t>
            </w:r>
          </w:p>
        </w:tc>
      </w:tr>
      <w:tr w:rsidR="00BA79D3" w:rsidTr="00F10556">
        <w:trPr>
          <w:trHeight w:hRule="exact" w:val="286"/>
        </w:trPr>
        <w:tc>
          <w:tcPr>
            <w:tcW w:w="6894" w:type="dxa"/>
            <w:tcBorders>
              <w:top w:val="nil"/>
              <w:left w:val="nil"/>
              <w:bottom w:val="dotted" w:sz="4" w:space="0" w:color="000000"/>
              <w:right w:val="nil"/>
            </w:tcBorders>
          </w:tcPr>
          <w:p w:rsidR="00BA79D3" w:rsidRDefault="00BA79D3" w:rsidP="00F10556">
            <w:pPr>
              <w:pStyle w:val="TableParagraph"/>
              <w:spacing w:before="35"/>
              <w:ind w:left="108"/>
              <w:rPr>
                <w:rFonts w:ascii="Calibri" w:eastAsia="Calibri" w:hAnsi="Calibri" w:cs="Calibri"/>
                <w:sz w:val="20"/>
                <w:szCs w:val="20"/>
              </w:rPr>
            </w:pPr>
            <w:r>
              <w:rPr>
                <w:rFonts w:ascii="Calibri"/>
                <w:sz w:val="20"/>
              </w:rPr>
              <w:t>Topic identification,</w:t>
            </w:r>
            <w:r>
              <w:rPr>
                <w:rFonts w:ascii="Calibri"/>
                <w:spacing w:val="-18"/>
                <w:sz w:val="20"/>
              </w:rPr>
              <w:t xml:space="preserve"> </w:t>
            </w:r>
            <w:r>
              <w:rPr>
                <w:rFonts w:ascii="Calibri"/>
                <w:sz w:val="20"/>
              </w:rPr>
              <w:t>management</w:t>
            </w:r>
          </w:p>
        </w:tc>
        <w:tc>
          <w:tcPr>
            <w:tcW w:w="1295" w:type="dxa"/>
            <w:tcBorders>
              <w:top w:val="nil"/>
              <w:left w:val="nil"/>
              <w:bottom w:val="dotted" w:sz="4" w:space="0" w:color="000000"/>
              <w:right w:val="nil"/>
            </w:tcBorders>
          </w:tcPr>
          <w:p w:rsidR="00BA79D3" w:rsidRDefault="00BA79D3" w:rsidP="00F10556">
            <w:pPr>
              <w:pStyle w:val="TableParagraph"/>
              <w:spacing w:line="20" w:lineRule="exact"/>
              <w:ind w:left="12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D251A91" wp14:editId="13791906">
                      <wp:extent cx="12700" cy="6350"/>
                      <wp:effectExtent l="0" t="0" r="15875" b="1460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0" y="0"/>
                                <a:chExt cx="20" cy="10"/>
                              </a:xfrm>
                            </wpg:grpSpPr>
                            <wpg:grpSp>
                              <wpg:cNvPr id="14" name="Group 3"/>
                              <wpg:cNvGrpSpPr>
                                <a:grpSpLocks/>
                              </wpg:cNvGrpSpPr>
                              <wpg:grpSpPr bwMode="auto">
                                <a:xfrm>
                                  <a:off x="5" y="5"/>
                                  <a:ext cx="10" cy="2"/>
                                  <a:chOff x="5" y="5"/>
                                  <a:chExt cx="10" cy="2"/>
                                </a:xfrm>
                              </wpg:grpSpPr>
                              <wps:wsp>
                                <wps:cNvPr id="15" name="Freeform 4"/>
                                <wps:cNvSpPr>
                                  <a:spLocks/>
                                </wps:cNvSpPr>
                                <wps:spPr bwMode="auto">
                                  <a:xfrm>
                                    <a:off x="5" y="5"/>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9C63BE" id="Group 2" o:spid="_x0000_s1026" style="width:1pt;height:.5pt;mso-position-horizontal-relative:char;mso-position-vertical-relative:line"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ZmWgMAADcIAAAOAAAAZHJzL2Uyb0RvYy54bWy0Vdtu2zAMfR+wfxD0uCG1nTppYzQdhlyK&#10;AbsBzT5AseULZkuapMTphv37KMp2k3TFgA3Lg0GFFHkOb7p5c2hqsufaVFLMaXQRUsJFKrNKFHP6&#10;ZbMeXVNiLBMZq6Xgc/rADX1z+/LFTasSPpalrDOuCTgRJmnVnJbWqiQITFryhpkLqbgAZS51wywc&#10;dRFkmrXgvamDcRhOg1bqTGmZcmPg36VX0lv0n+c8tZ/y3HBL6jkFbBa/Gr9b9w1ub1hSaKbKKu1g&#10;sL9A0bBKQNDB1ZJZRna6euKqqVItjcztRSqbQOZ5lXLkAGyi8IzNnZY7hVyKpC3UkCZI7Vme/tpt&#10;+nH/WZMqg9pdUiJYAzXCsGTsctOqIgGTO63u1WftCYL4XqZfDaiDc707F96YbNsPMgN3bGcl5uaQ&#10;68a5ANbkgCV4GErAD5ak8Gc0vgqhTiloppeTrj5pCUV8ciUtV92lcXcjQvuAJT4SouvQeCp4GFj1&#10;xONT4pf/m/iEEqA38b03EO84YNpZMlA+MX6kDFQxSWj+LGOYKfPYNubf2ua+ZIpjNxrXE332AKBv&#10;m7Xm3A0qiX0C0apvG3PcM0eaVpnEQGv9sVtO8vDbpA1ZgOztjL3jEruN7d8b68c8Awl7OOsgbyCL&#10;eVPDxL8ekZBMSFeUYjCIeoNXAdmEpCW+x2DQB5Nxb4I+ovipE5gsH8U5GQ9OAHDRQ2JljzI9iA4m&#10;SIS5PRri+Chp3AxsAFI/N+ABjBylZ2wh8rmtv9OF0LAgz1ejpgRW49a3p2LWIXMhnEhaGFEPp5F7&#10;vpGosGezCSEetbU4tpqdAPI6MHe+YZ14AeM5mEdVFHJd1TWWsRYOxTScTTEtRtZV5pQOitHFdlFr&#10;smdu3+PP8QBnJ2ZKG7tkpvR2GUieLexbkWGQkrNs1cmWVbWXwU+N6YYG7LLiWhEX/Y9ZOFtdr67j&#10;UTyerkZxmGWjt+tFPJquo6vJ8nK5WCyjnx2a/j6sKN//bimZZCuzB5gFLf07Be8qCKXU3ylp4Y2a&#10;U/NtxzSnpH4nYJpnURxDB1s8xJMrtwf1sWZ7rGEiBVdzail0lRMX1j+EO6WrooRIESZUyLewsfPK&#10;DQ3i86i6AywUlLo938nwOoF08vwdn9Hq8b2//QUAAP//AwBQSwMEFAAGAAgAAAAhADdQgCXYAAAA&#10;AQEAAA8AAABkcnMvZG93bnJldi54bWxMj0FLw0AQhe+C/2GZgje7SUWRNJtSinoqgq0g3qbZaRKa&#10;nQ3ZbZL+e0cv9jLweI8338tXk2vVQH1oPBtI5wko4tLbhisDn/vX+2dQISJbbD2TgQsFWBW3Nzlm&#10;1o/8QcMuVkpKOGRooI6xy7QOZU0Ow9x3xOIdfe8wiuwrbXscpdy1epEkT9phw/Khxo42NZWn3dkZ&#10;eBtxXD+kL8P2dNxcvveP71/blIy5m03rJahIU/wPwy++oEMhTAd/ZhtUa0CGxL8r3kLEQSIJ6CLX&#10;1+TFDwAAAP//AwBQSwECLQAUAAYACAAAACEAtoM4kv4AAADhAQAAEwAAAAAAAAAAAAAAAAAAAAAA&#10;W0NvbnRlbnRfVHlwZXNdLnhtbFBLAQItABQABgAIAAAAIQA4/SH/1gAAAJQBAAALAAAAAAAAAAAA&#10;AAAAAC8BAABfcmVscy8ucmVsc1BLAQItABQABgAIAAAAIQB6zCZmWgMAADcIAAAOAAAAAAAAAAAA&#10;AAAAAC4CAABkcnMvZTJvRG9jLnhtbFBLAQItABQABgAIAAAAIQA3UIAl2AAAAAEBAAAPAAAAAAAA&#10;AAAAAAAAALQFAABkcnMvZG93bnJldi54bWxQSwUGAAAAAAQABADzAAAAuQYAAAAA&#10;">
                      <v:group id="Group 3" o:spid="_x0000_s1027" style="position:absolute;left:5;top:5;width:10;height:2" coordorigin="5,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28" style="position:absolute;left:5;top: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e1oMIA&#10;AADbAAAADwAAAGRycy9kb3ducmV2LnhtbERPTWvCQBC9F/wPywje6sZCSomuIRQLevAQK+hxmh2T&#10;kOxsyK4m6a/vFgq9zeN9ziYdTSse1LvasoLVMgJBXFhdc6ng/Pnx/AbCeWSNrWVSMJGDdDt72mCi&#10;7cA5PU6+FCGEXYIKKu+7REpXVGTQLW1HHLib7Q36APtS6h6HEG5a+RJFr9JgzaGhwo7eKyqa090o&#10;MFNWxruvHJvL9Ru77C4P1+NNqcV8zNYgPI3+X/zn3uswP4bfX8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7WgwgAAANsAAAAPAAAAAAAAAAAAAAAAAJgCAABkcnMvZG93&#10;bnJldi54bWxQSwUGAAAAAAQABAD1AAAAhwMAAAAA&#10;" path="m,l9,e" filled="f" strokeweight=".48pt">
                          <v:stroke dashstyle="dash"/>
                          <v:path arrowok="t" o:connecttype="custom" o:connectlocs="0,0;9,0" o:connectangles="0,0"/>
                        </v:shape>
                      </v:group>
                      <w10:anchorlock/>
                    </v:group>
                  </w:pict>
                </mc:Fallback>
              </mc:AlternateContent>
            </w:r>
          </w:p>
          <w:p w:rsidR="00BA79D3" w:rsidRDefault="00BA79D3" w:rsidP="00F10556">
            <w:pPr>
              <w:pStyle w:val="TableParagraph"/>
              <w:ind w:left="565"/>
              <w:rPr>
                <w:rFonts w:ascii="Calibri" w:eastAsia="Calibri" w:hAnsi="Calibri" w:cs="Calibri"/>
              </w:rPr>
            </w:pPr>
            <w:r>
              <w:rPr>
                <w:rFonts w:ascii="Calibri"/>
              </w:rPr>
              <w:t>80%</w:t>
            </w:r>
          </w:p>
        </w:tc>
        <w:tc>
          <w:tcPr>
            <w:tcW w:w="1171" w:type="dxa"/>
            <w:tcBorders>
              <w:top w:val="nil"/>
              <w:left w:val="nil"/>
              <w:bottom w:val="dotted" w:sz="4" w:space="0" w:color="000000"/>
              <w:right w:val="nil"/>
            </w:tcBorders>
          </w:tcPr>
          <w:p w:rsidR="00BA79D3" w:rsidRDefault="00BA79D3" w:rsidP="00F10556">
            <w:pPr>
              <w:pStyle w:val="TableParagraph"/>
              <w:spacing w:line="20" w:lineRule="exact"/>
              <w:ind w:left="8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7C1C7D5" wp14:editId="501C0940">
                      <wp:extent cx="12700" cy="6350"/>
                      <wp:effectExtent l="0" t="0" r="15875" b="1460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0" y="0"/>
                                <a:chExt cx="20" cy="10"/>
                              </a:xfrm>
                            </wpg:grpSpPr>
                            <wpg:grpSp>
                              <wpg:cNvPr id="11" name="Group 6"/>
                              <wpg:cNvGrpSpPr>
                                <a:grpSpLocks/>
                              </wpg:cNvGrpSpPr>
                              <wpg:grpSpPr bwMode="auto">
                                <a:xfrm>
                                  <a:off x="5" y="5"/>
                                  <a:ext cx="10" cy="2"/>
                                  <a:chOff x="5" y="5"/>
                                  <a:chExt cx="10" cy="2"/>
                                </a:xfrm>
                              </wpg:grpSpPr>
                              <wps:wsp>
                                <wps:cNvPr id="12" name="Freeform 7"/>
                                <wps:cNvSpPr>
                                  <a:spLocks/>
                                </wps:cNvSpPr>
                                <wps:spPr bwMode="auto">
                                  <a:xfrm>
                                    <a:off x="5" y="5"/>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1F2809" id="Group 5" o:spid="_x0000_s1026" style="width:1pt;height:.5pt;mso-position-horizontal-relative:char;mso-position-vertical-relative:line"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H7WQMAADcIAAAOAAAAZHJzL2Uyb0RvYy54bWy0Vdtu2zAMfR+wfxD8uCH1pU7SGE2LIZdi&#10;QLcVaPYBiixfMFvSJCVON+zfR0m246QrBnRYHgwqpKhzqEPq+vZQV2hPpSo5m3vhReAhyghPS5bP&#10;va+b9ejKQ0pjluKKMzr3nqjybm/evrluREIjXvAqpRJBEqaSRsy9QmuR+L4iBa2xuuCCMnBmXNZY&#10;w1LmfipxA9nryo+CYOI3XKZCckKVgn+Xzund2PxZRon+kmWKalTNPcCm7Vfa79Z8/ZtrnOQSi6Ik&#10;LQz8ChQ1Lhkc2qdaYo3RTpbPUtUlkVzxTF8QXvs8y0pCLQdgEwZnbO4k3wnLJU+aXPRlgtKe1enV&#10;acnn/YNEZQp3B+VhuIY7sseisalNI/IEQu6keBQP0hEE856Tbwrc/rnfrHMXjLbNJ55COrzT3Nbm&#10;kMnapADW6GCv4Km/AnrQiMCfYTQNAAgBz+Ry3N4PKeASn20hxardFLU7gIIBhRN3kkXXonFU7KJn&#10;1REPT4lP/jfxsYeAnq0vTnriLYfISbKnfBJ8pGxuyxTJhr/IGHpKHWWj/k02jwUW1KpRGU101Yu6&#10;6q0lpaZR0dQV0EZ1slFDzQw8jVCJAmn9VS0ndfhj0foq4ITslL6j3KoN7++Vdm2egmU1nLZK30AV&#10;s7qCjn8/QgEaO9FDF/cBoA0X8M5HmwA1yGlsGAIFGOQI4+dJLrsIkyTqkwDgvIOEiw4lObAWJlgI&#10;mzka2PYRXJke2ACkrm8gAwQZSi/EwsnnsW5Pe4SEAXk+GqWHYDRunQ4F1gaZOcKYqLGDwixrvqcb&#10;bh36rDfhiKO3YsOo2Qkg54Nwk9t2bn+egTm4RcbXZVXZa6yYQTEJZhNbFsWrMjVOA0XJfLuoJNpj&#10;M+/tz/CAZCdhQiq9xKpwcSlYji3MW5baQwqK01Vra1xWzoY8lS03CLCtipGiHfQ/Z8FsdbW6ikdx&#10;NFmN4iBNRx/Wi3g0WYfT8fJyuVgsw18tmm4/jCinfzOUVLLl6RP0guTunYJ3FYyCyx8eauCNmnvq&#10;+w5L6qHqI4NunoVxDArWdhGPp2YOyqFnO/RgRiDV3NMeqMqYC+0ewp2QZV7ASaEtKOMfYGJnpWka&#10;i8+hahcwUKzVzvnWhtcJrJPnb7i2Ucf3/uY3AAAA//8DAFBLAwQUAAYACAAAACEAN1CAJdgAAAAB&#10;AQAADwAAAGRycy9kb3ducmV2LnhtbEyPQUvDQBCF74L/YZmCN7tJRZE0m1KKeiqCrSDeptlpEpqd&#10;Ddltkv57Ry/2MvB4jzffy1eTa9VAfWg8G0jnCSji0tuGKwOf+9f7Z1AhIltsPZOBCwVYFbc3OWbW&#10;j/xBwy5WSko4ZGigjrHLtA5lTQ7D3HfE4h197zCK7Cttexyl3LV6kSRP2mHD8qHGjjY1lafd2Rl4&#10;G3FcP6Qvw/Z03Fy+94/vX9uUjLmbTeslqEhT/A/DL76gQyFMB39mG1RrQIbEvyveQsRBIgnoItfX&#10;5MUPAAAA//8DAFBLAQItABQABgAIAAAAIQC2gziS/gAAAOEBAAATAAAAAAAAAAAAAAAAAAAAAABb&#10;Q29udGVudF9UeXBlc10ueG1sUEsBAi0AFAAGAAgAAAAhADj9If/WAAAAlAEAAAsAAAAAAAAAAAAA&#10;AAAALwEAAF9yZWxzLy5yZWxzUEsBAi0AFAAGAAgAAAAhAAJhcftZAwAANwgAAA4AAAAAAAAAAAAA&#10;AAAALgIAAGRycy9lMm9Eb2MueG1sUEsBAi0AFAAGAAgAAAAhADdQgCXYAAAAAQEAAA8AAAAAAAAA&#10;AAAAAAAAswUAAGRycy9kb3ducmV2LnhtbFBLBQYAAAAABAAEAPMAAAC4BgAAAAA=&#10;">
                      <v:group id="Group 6" o:spid="_x0000_s1027" style="position:absolute;left:5;top:5;width:10;height:2" coordorigin="5,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5;top: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1MIA&#10;AADbAAAADwAAAGRycy9kb3ducmV2LnhtbERPS2uDQBC+B/IflgnkFtcEWoJ1I1JSaA855AHNcepO&#10;VHRnxd2o6a/vFgq9zcf3nDSbTCsG6l1tWcE6ikEQF1bXXCq4nN9WWxDOI2tsLZOCBznIdvNZiom2&#10;Ix9pOPlShBB2CSqovO8SKV1RkUEX2Y44cDfbG/QB9qXUPY4h3LRyE8fP0mDNoaHCjl4rKprT3Sgw&#10;j7x82n8dsfm8fmOX3+XH9XBTarmY8hcQnib/L/5zv+swfwO/v4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i3UwgAAANsAAAAPAAAAAAAAAAAAAAAAAJgCAABkcnMvZG93&#10;bnJldi54bWxQSwUGAAAAAAQABAD1AAAAhwMAAAAA&#10;" path="m,l9,e" filled="f" strokeweight=".48pt">
                          <v:stroke dashstyle="dash"/>
                          <v:path arrowok="t" o:connecttype="custom" o:connectlocs="0,0;9,0" o:connectangles="0,0"/>
                        </v:shape>
                      </v:group>
                      <w10:anchorlock/>
                    </v:group>
                  </w:pict>
                </mc:Fallback>
              </mc:AlternateContent>
            </w:r>
          </w:p>
          <w:p w:rsidR="00BA79D3" w:rsidRDefault="00BA79D3" w:rsidP="00F10556">
            <w:pPr>
              <w:pStyle w:val="TableParagraph"/>
              <w:ind w:left="441"/>
              <w:rPr>
                <w:rFonts w:ascii="Calibri" w:eastAsia="Calibri" w:hAnsi="Calibri" w:cs="Calibri"/>
              </w:rPr>
            </w:pPr>
            <w:r>
              <w:rPr>
                <w:rFonts w:ascii="Calibri"/>
              </w:rPr>
              <w:t>20%</w:t>
            </w:r>
          </w:p>
        </w:tc>
      </w:tr>
      <w:tr w:rsidR="00BA79D3" w:rsidTr="00F10556">
        <w:trPr>
          <w:trHeight w:hRule="exact" w:val="278"/>
        </w:trPr>
        <w:tc>
          <w:tcPr>
            <w:tcW w:w="6894" w:type="dxa"/>
            <w:tcBorders>
              <w:top w:val="dotted" w:sz="4" w:space="0" w:color="000000"/>
              <w:left w:val="nil"/>
              <w:bottom w:val="dotted"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Explanation of</w:t>
            </w:r>
            <w:r>
              <w:rPr>
                <w:rFonts w:ascii="Calibri"/>
                <w:spacing w:val="-13"/>
                <w:sz w:val="20"/>
              </w:rPr>
              <w:t xml:space="preserve"> </w:t>
            </w:r>
            <w:r>
              <w:rPr>
                <w:rFonts w:ascii="Calibri"/>
                <w:sz w:val="20"/>
              </w:rPr>
              <w:t>issues</w:t>
            </w:r>
          </w:p>
        </w:tc>
        <w:tc>
          <w:tcPr>
            <w:tcW w:w="1295"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70%</w:t>
            </w:r>
          </w:p>
        </w:tc>
        <w:tc>
          <w:tcPr>
            <w:tcW w:w="1171"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30%</w:t>
            </w:r>
          </w:p>
        </w:tc>
      </w:tr>
      <w:tr w:rsidR="00BA79D3" w:rsidTr="00F10556">
        <w:trPr>
          <w:trHeight w:hRule="exact" w:val="278"/>
        </w:trPr>
        <w:tc>
          <w:tcPr>
            <w:tcW w:w="6894" w:type="dxa"/>
            <w:tcBorders>
              <w:top w:val="dotted" w:sz="4" w:space="0" w:color="000000"/>
              <w:left w:val="nil"/>
              <w:bottom w:val="dotted"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Evidence</w:t>
            </w:r>
            <w:r>
              <w:rPr>
                <w:rFonts w:ascii="Calibri"/>
                <w:spacing w:val="-4"/>
                <w:sz w:val="20"/>
              </w:rPr>
              <w:t xml:space="preserve"> </w:t>
            </w:r>
            <w:r>
              <w:rPr>
                <w:rFonts w:ascii="Calibri"/>
                <w:sz w:val="20"/>
              </w:rPr>
              <w:t>selecting,</w:t>
            </w:r>
            <w:r>
              <w:rPr>
                <w:rFonts w:ascii="Calibri"/>
                <w:spacing w:val="-5"/>
                <w:sz w:val="20"/>
              </w:rPr>
              <w:t xml:space="preserve"> </w:t>
            </w:r>
            <w:r>
              <w:rPr>
                <w:rFonts w:ascii="Calibri"/>
                <w:sz w:val="20"/>
              </w:rPr>
              <w:t>using</w:t>
            </w:r>
            <w:r>
              <w:rPr>
                <w:rFonts w:ascii="Calibri"/>
                <w:spacing w:val="-6"/>
                <w:sz w:val="20"/>
              </w:rPr>
              <w:t xml:space="preserve"> </w:t>
            </w:r>
            <w:r>
              <w:rPr>
                <w:rFonts w:ascii="Calibri"/>
                <w:sz w:val="20"/>
              </w:rPr>
              <w:t>information</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investigate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point</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view/conclusion</w:t>
            </w:r>
          </w:p>
        </w:tc>
        <w:tc>
          <w:tcPr>
            <w:tcW w:w="1295"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52%</w:t>
            </w:r>
          </w:p>
        </w:tc>
        <w:tc>
          <w:tcPr>
            <w:tcW w:w="1171"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48%</w:t>
            </w:r>
          </w:p>
        </w:tc>
      </w:tr>
      <w:tr w:rsidR="00BA79D3" w:rsidTr="00F10556">
        <w:trPr>
          <w:trHeight w:hRule="exact" w:val="278"/>
        </w:trPr>
        <w:tc>
          <w:tcPr>
            <w:tcW w:w="6894" w:type="dxa"/>
            <w:tcBorders>
              <w:top w:val="dotted" w:sz="4" w:space="0" w:color="000000"/>
              <w:left w:val="nil"/>
              <w:bottom w:val="dotted"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Influence of context,</w:t>
            </w:r>
            <w:r>
              <w:rPr>
                <w:rFonts w:ascii="Calibri"/>
                <w:spacing w:val="-18"/>
                <w:sz w:val="20"/>
              </w:rPr>
              <w:t xml:space="preserve"> </w:t>
            </w:r>
            <w:r>
              <w:rPr>
                <w:rFonts w:ascii="Calibri"/>
                <w:sz w:val="20"/>
              </w:rPr>
              <w:t>assumptions</w:t>
            </w:r>
          </w:p>
        </w:tc>
        <w:tc>
          <w:tcPr>
            <w:tcW w:w="1295"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40%</w:t>
            </w:r>
          </w:p>
        </w:tc>
        <w:tc>
          <w:tcPr>
            <w:tcW w:w="1171"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60%</w:t>
            </w:r>
          </w:p>
        </w:tc>
      </w:tr>
      <w:tr w:rsidR="00BA79D3" w:rsidTr="00F10556">
        <w:trPr>
          <w:trHeight w:hRule="exact" w:val="278"/>
        </w:trPr>
        <w:tc>
          <w:tcPr>
            <w:tcW w:w="6894" w:type="dxa"/>
            <w:tcBorders>
              <w:top w:val="dotted" w:sz="4" w:space="0" w:color="000000"/>
              <w:left w:val="nil"/>
              <w:bottom w:val="dotted"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Student's position (perspective,</w:t>
            </w:r>
            <w:r>
              <w:rPr>
                <w:rFonts w:ascii="Calibri"/>
                <w:spacing w:val="-31"/>
                <w:sz w:val="20"/>
              </w:rPr>
              <w:t xml:space="preserve"> </w:t>
            </w:r>
            <w:r>
              <w:rPr>
                <w:rFonts w:ascii="Calibri"/>
                <w:sz w:val="20"/>
              </w:rPr>
              <w:t>thesis/hypothesis)</w:t>
            </w:r>
          </w:p>
        </w:tc>
        <w:tc>
          <w:tcPr>
            <w:tcW w:w="1295"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49%</w:t>
            </w:r>
          </w:p>
        </w:tc>
        <w:tc>
          <w:tcPr>
            <w:tcW w:w="1171"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51%</w:t>
            </w:r>
          </w:p>
        </w:tc>
      </w:tr>
      <w:tr w:rsidR="00BA79D3" w:rsidTr="00F10556">
        <w:trPr>
          <w:trHeight w:hRule="exact" w:val="278"/>
        </w:trPr>
        <w:tc>
          <w:tcPr>
            <w:tcW w:w="6894" w:type="dxa"/>
            <w:tcBorders>
              <w:top w:val="dotted" w:sz="4" w:space="0" w:color="000000"/>
              <w:left w:val="nil"/>
              <w:bottom w:val="dotted"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Theoretical framework,</w:t>
            </w:r>
            <w:r>
              <w:rPr>
                <w:rFonts w:ascii="Calibri"/>
                <w:spacing w:val="-14"/>
                <w:sz w:val="20"/>
              </w:rPr>
              <w:t xml:space="preserve"> </w:t>
            </w:r>
            <w:r>
              <w:rPr>
                <w:rFonts w:ascii="Calibri"/>
                <w:sz w:val="20"/>
              </w:rPr>
              <w:t>approach</w:t>
            </w:r>
          </w:p>
        </w:tc>
        <w:tc>
          <w:tcPr>
            <w:tcW w:w="1295"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62%</w:t>
            </w:r>
          </w:p>
        </w:tc>
        <w:tc>
          <w:tcPr>
            <w:tcW w:w="1171" w:type="dxa"/>
            <w:tcBorders>
              <w:top w:val="dotted" w:sz="4" w:space="0" w:color="000000"/>
              <w:left w:val="nil"/>
              <w:bottom w:val="dotted"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38%</w:t>
            </w:r>
          </w:p>
        </w:tc>
      </w:tr>
      <w:tr w:rsidR="00BA79D3" w:rsidTr="00F10556">
        <w:trPr>
          <w:trHeight w:hRule="exact" w:val="278"/>
        </w:trPr>
        <w:tc>
          <w:tcPr>
            <w:tcW w:w="6894" w:type="dxa"/>
            <w:tcBorders>
              <w:top w:val="dotted" w:sz="4" w:space="0" w:color="000000"/>
              <w:left w:val="nil"/>
              <w:bottom w:val="single" w:sz="4" w:space="0" w:color="000000"/>
              <w:right w:val="nil"/>
            </w:tcBorders>
          </w:tcPr>
          <w:p w:rsidR="00BA79D3" w:rsidRDefault="00BA79D3" w:rsidP="00F10556">
            <w:pPr>
              <w:pStyle w:val="TableParagraph"/>
              <w:spacing w:before="23"/>
              <w:ind w:left="108"/>
              <w:rPr>
                <w:rFonts w:ascii="Calibri" w:eastAsia="Calibri" w:hAnsi="Calibri" w:cs="Calibri"/>
                <w:sz w:val="20"/>
                <w:szCs w:val="20"/>
              </w:rPr>
            </w:pPr>
            <w:r>
              <w:rPr>
                <w:rFonts w:ascii="Calibri"/>
                <w:sz w:val="20"/>
              </w:rPr>
              <w:t>Conclusions and related</w:t>
            </w:r>
            <w:r>
              <w:rPr>
                <w:rFonts w:ascii="Calibri"/>
                <w:spacing w:val="-16"/>
                <w:sz w:val="20"/>
              </w:rPr>
              <w:t xml:space="preserve"> </w:t>
            </w:r>
            <w:r>
              <w:rPr>
                <w:rFonts w:ascii="Calibri"/>
                <w:sz w:val="20"/>
              </w:rPr>
              <w:t>outcomes</w:t>
            </w:r>
          </w:p>
        </w:tc>
        <w:tc>
          <w:tcPr>
            <w:tcW w:w="1295" w:type="dxa"/>
            <w:tcBorders>
              <w:top w:val="dotted" w:sz="4" w:space="0" w:color="000000"/>
              <w:left w:val="nil"/>
              <w:bottom w:val="single" w:sz="4" w:space="0" w:color="000000"/>
              <w:right w:val="nil"/>
            </w:tcBorders>
          </w:tcPr>
          <w:p w:rsidR="00BA79D3" w:rsidRDefault="00BA79D3" w:rsidP="00F10556">
            <w:pPr>
              <w:pStyle w:val="TableParagraph"/>
              <w:spacing w:line="265" w:lineRule="exact"/>
              <w:ind w:left="565"/>
              <w:rPr>
                <w:rFonts w:ascii="Calibri" w:eastAsia="Calibri" w:hAnsi="Calibri" w:cs="Calibri"/>
              </w:rPr>
            </w:pPr>
            <w:r>
              <w:rPr>
                <w:rFonts w:ascii="Calibri"/>
              </w:rPr>
              <w:t>53%</w:t>
            </w:r>
          </w:p>
        </w:tc>
        <w:tc>
          <w:tcPr>
            <w:tcW w:w="1171" w:type="dxa"/>
            <w:tcBorders>
              <w:top w:val="dotted" w:sz="4" w:space="0" w:color="000000"/>
              <w:left w:val="nil"/>
              <w:bottom w:val="single" w:sz="4" w:space="0" w:color="000000"/>
              <w:right w:val="nil"/>
            </w:tcBorders>
          </w:tcPr>
          <w:p w:rsidR="00BA79D3" w:rsidRDefault="00BA79D3" w:rsidP="00F10556">
            <w:pPr>
              <w:pStyle w:val="TableParagraph"/>
              <w:spacing w:line="265" w:lineRule="exact"/>
              <w:ind w:left="441"/>
              <w:rPr>
                <w:rFonts w:ascii="Calibri" w:eastAsia="Calibri" w:hAnsi="Calibri" w:cs="Calibri"/>
              </w:rPr>
            </w:pPr>
            <w:r>
              <w:rPr>
                <w:rFonts w:ascii="Calibri"/>
              </w:rPr>
              <w:t>47%</w:t>
            </w:r>
          </w:p>
        </w:tc>
      </w:tr>
    </w:tbl>
    <w:p w:rsidR="00BA79D3" w:rsidRDefault="00BA79D3" w:rsidP="00BA79D3">
      <w:pPr>
        <w:rPr>
          <w:sz w:val="24"/>
          <w:szCs w:val="24"/>
          <w:u w:val="single"/>
        </w:rPr>
      </w:pPr>
    </w:p>
    <w:p w:rsidR="00BA79D3" w:rsidRPr="00620A61" w:rsidRDefault="00BA79D3" w:rsidP="00BA79D3">
      <w:pPr>
        <w:rPr>
          <w:u w:val="single"/>
        </w:rPr>
      </w:pPr>
      <w:r w:rsidRPr="00620A61">
        <w:rPr>
          <w:u w:val="single"/>
        </w:rPr>
        <w:t>Critical Thinking Artifact Ratings, Tier 2</w:t>
      </w:r>
    </w:p>
    <w:tbl>
      <w:tblPr>
        <w:tblW w:w="5000" w:type="pct"/>
        <w:tblLayout w:type="fixed"/>
        <w:tblLook w:val="04A0" w:firstRow="1" w:lastRow="0" w:firstColumn="1" w:lastColumn="0" w:noHBand="0" w:noVBand="1"/>
      </w:tblPr>
      <w:tblGrid>
        <w:gridCol w:w="2907"/>
        <w:gridCol w:w="880"/>
        <w:gridCol w:w="967"/>
        <w:gridCol w:w="880"/>
        <w:gridCol w:w="1231"/>
        <w:gridCol w:w="1211"/>
        <w:gridCol w:w="1068"/>
      </w:tblGrid>
      <w:tr w:rsidR="00BA79D3" w:rsidRPr="0023679A" w:rsidTr="00F10556">
        <w:trPr>
          <w:trHeight w:val="300"/>
        </w:trPr>
        <w:tc>
          <w:tcPr>
            <w:tcW w:w="1590"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48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3</w:t>
            </w:r>
          </w:p>
        </w:tc>
        <w:tc>
          <w:tcPr>
            <w:tcW w:w="529"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Tier 2 to &lt; Tier 3</w:t>
            </w:r>
          </w:p>
        </w:tc>
        <w:tc>
          <w:tcPr>
            <w:tcW w:w="48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1</w:t>
            </w:r>
            <w:r>
              <w:rPr>
                <w:rFonts w:ascii="Calibri" w:eastAsia="Times New Roman" w:hAnsi="Calibri" w:cs="Times New Roman"/>
                <w:color w:val="FFFFFF" w:themeColor="background1"/>
                <w:sz w:val="20"/>
                <w:szCs w:val="20"/>
              </w:rPr>
              <w:t xml:space="preserve"> to &lt; Tier 2</w:t>
            </w:r>
          </w:p>
        </w:tc>
        <w:tc>
          <w:tcPr>
            <w:tcW w:w="673"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Benchmark</w:t>
            </w:r>
            <w:r>
              <w:rPr>
                <w:rFonts w:ascii="Calibri" w:eastAsia="Times New Roman" w:hAnsi="Calibri" w:cs="Times New Roman"/>
                <w:color w:val="FFFFFF" w:themeColor="background1"/>
                <w:sz w:val="20"/>
                <w:szCs w:val="20"/>
              </w:rPr>
              <w:t xml:space="preserve"> to &lt; Tier 1</w:t>
            </w:r>
          </w:p>
        </w:tc>
        <w:tc>
          <w:tcPr>
            <w:tcW w:w="662"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&lt; Benchmark</w:t>
            </w:r>
          </w:p>
        </w:tc>
        <w:tc>
          <w:tcPr>
            <w:tcW w:w="584" w:type="pct"/>
            <w:tcBorders>
              <w:top w:val="nil"/>
              <w:left w:val="nil"/>
              <w:bottom w:val="dotted" w:sz="4" w:space="0" w:color="auto"/>
              <w:right w:val="nil"/>
            </w:tcBorders>
            <w:shd w:val="clear" w:color="auto" w:fill="000000" w:themeFill="text1"/>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Students</w:t>
            </w:r>
          </w:p>
        </w:tc>
      </w:tr>
      <w:tr w:rsidR="00BA79D3" w:rsidRPr="0023679A" w:rsidTr="00F10556">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Topic </w:t>
            </w:r>
            <w:r>
              <w:rPr>
                <w:rFonts w:ascii="Calibri" w:eastAsia="Times New Roman" w:hAnsi="Calibri" w:cs="Times New Roman"/>
                <w:color w:val="000000"/>
                <w:sz w:val="20"/>
                <w:szCs w:val="20"/>
              </w:rPr>
              <w:t>i</w:t>
            </w:r>
            <w:r w:rsidRPr="0023679A">
              <w:rPr>
                <w:rFonts w:ascii="Calibri" w:eastAsia="Times New Roman" w:hAnsi="Calibri" w:cs="Times New Roman"/>
                <w:color w:val="000000"/>
                <w:sz w:val="20"/>
                <w:szCs w:val="20"/>
              </w:rPr>
              <w:t>dentification</w:t>
            </w:r>
            <w:r>
              <w:rPr>
                <w:rFonts w:ascii="Calibri" w:eastAsia="Times New Roman" w:hAnsi="Calibri" w:cs="Times New Roman"/>
                <w:color w:val="000000"/>
                <w:sz w:val="20"/>
                <w:szCs w:val="20"/>
              </w:rPr>
              <w:t>, m</w:t>
            </w:r>
            <w:r w:rsidRPr="0023679A">
              <w:rPr>
                <w:rFonts w:ascii="Calibri" w:eastAsia="Times New Roman" w:hAnsi="Calibri" w:cs="Times New Roman"/>
                <w:color w:val="000000"/>
                <w:sz w:val="20"/>
                <w:szCs w:val="20"/>
              </w:rPr>
              <w:t>anagement</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52%</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38%</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10%</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21</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Explanation of issues</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36%</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9%</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55%</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22</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Evidence </w:t>
            </w:r>
            <w:r>
              <w:rPr>
                <w:rFonts w:ascii="Calibri" w:eastAsia="Times New Roman" w:hAnsi="Calibri" w:cs="Times New Roman"/>
                <w:color w:val="000000"/>
                <w:sz w:val="20"/>
                <w:szCs w:val="20"/>
              </w:rPr>
              <w:t>s</w:t>
            </w:r>
            <w:r w:rsidRPr="0023679A">
              <w:rPr>
                <w:rFonts w:ascii="Calibri" w:eastAsia="Times New Roman" w:hAnsi="Calibri" w:cs="Times New Roman"/>
                <w:color w:val="000000"/>
                <w:sz w:val="20"/>
                <w:szCs w:val="20"/>
              </w:rPr>
              <w:t>electing</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using information to investigate a point of view</w:t>
            </w:r>
            <w:r>
              <w:rPr>
                <w:rFonts w:ascii="Calibri" w:eastAsia="Times New Roman" w:hAnsi="Calibri" w:cs="Times New Roman"/>
                <w:color w:val="000000"/>
                <w:sz w:val="20"/>
                <w:szCs w:val="20"/>
              </w:rPr>
              <w:t>/</w:t>
            </w:r>
            <w:r w:rsidRPr="0023679A">
              <w:rPr>
                <w:rFonts w:ascii="Calibri" w:eastAsia="Times New Roman" w:hAnsi="Calibri" w:cs="Times New Roman"/>
                <w:color w:val="000000"/>
                <w:sz w:val="20"/>
                <w:szCs w:val="20"/>
              </w:rPr>
              <w:t>conclusion</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24%</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43%</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33%</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21</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Influence of context</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assumptions</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16%</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37%</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32%</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16%</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19</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Student's position (perspective, thesis/hypothesis)</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14%</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36%</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50%</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22</w:t>
            </w:r>
          </w:p>
        </w:tc>
      </w:tr>
      <w:tr w:rsidR="00BA79D3" w:rsidRPr="0023679A" w:rsidTr="00F10556">
        <w:trPr>
          <w:trHeight w:val="300"/>
        </w:trPr>
        <w:tc>
          <w:tcPr>
            <w:tcW w:w="159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Theoretical f</w:t>
            </w:r>
            <w:r w:rsidRPr="0023679A">
              <w:rPr>
                <w:rFonts w:ascii="Calibri" w:eastAsia="Times New Roman" w:hAnsi="Calibri" w:cs="Times New Roman"/>
                <w:color w:val="000000"/>
                <w:sz w:val="20"/>
                <w:szCs w:val="20"/>
              </w:rPr>
              <w:t>ramework</w:t>
            </w:r>
            <w:r>
              <w:rPr>
                <w:rFonts w:ascii="Calibri" w:eastAsia="Times New Roman" w:hAnsi="Calibri" w:cs="Times New Roman"/>
                <w:color w:val="000000"/>
                <w:sz w:val="20"/>
                <w:szCs w:val="20"/>
              </w:rPr>
              <w:t>, a</w:t>
            </w:r>
            <w:r w:rsidRPr="0023679A">
              <w:rPr>
                <w:rFonts w:ascii="Calibri" w:eastAsia="Times New Roman" w:hAnsi="Calibri" w:cs="Times New Roman"/>
                <w:color w:val="000000"/>
                <w:sz w:val="20"/>
                <w:szCs w:val="20"/>
              </w:rPr>
              <w:t>pproach</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41%</w:t>
            </w:r>
          </w:p>
        </w:tc>
        <w:tc>
          <w:tcPr>
            <w:tcW w:w="481"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36%</w:t>
            </w:r>
          </w:p>
        </w:tc>
        <w:tc>
          <w:tcPr>
            <w:tcW w:w="673"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18%</w:t>
            </w:r>
          </w:p>
        </w:tc>
        <w:tc>
          <w:tcPr>
            <w:tcW w:w="662" w:type="pct"/>
            <w:tcBorders>
              <w:top w:val="dotted" w:sz="4" w:space="0" w:color="auto"/>
              <w:left w:val="nil"/>
              <w:bottom w:val="dotted"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5%</w:t>
            </w:r>
          </w:p>
        </w:tc>
        <w:tc>
          <w:tcPr>
            <w:tcW w:w="584"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22</w:t>
            </w:r>
          </w:p>
        </w:tc>
      </w:tr>
      <w:tr w:rsidR="00BA79D3" w:rsidRPr="0023679A" w:rsidTr="00F10556">
        <w:trPr>
          <w:trHeight w:val="300"/>
        </w:trPr>
        <w:tc>
          <w:tcPr>
            <w:tcW w:w="1590" w:type="pct"/>
            <w:tcBorders>
              <w:top w:val="dotted" w:sz="4" w:space="0" w:color="auto"/>
              <w:left w:val="nil"/>
              <w:bottom w:val="single"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Conclusions and related outcomes </w:t>
            </w:r>
          </w:p>
        </w:tc>
        <w:tc>
          <w:tcPr>
            <w:tcW w:w="481" w:type="pct"/>
            <w:tcBorders>
              <w:top w:val="dotted" w:sz="4" w:space="0" w:color="auto"/>
              <w:left w:val="nil"/>
              <w:bottom w:val="single"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0%</w:t>
            </w:r>
          </w:p>
        </w:tc>
        <w:tc>
          <w:tcPr>
            <w:tcW w:w="529" w:type="pct"/>
            <w:tcBorders>
              <w:top w:val="dotted" w:sz="4" w:space="0" w:color="auto"/>
              <w:left w:val="nil"/>
              <w:bottom w:val="single"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17%</w:t>
            </w:r>
          </w:p>
        </w:tc>
        <w:tc>
          <w:tcPr>
            <w:tcW w:w="481" w:type="pct"/>
            <w:tcBorders>
              <w:top w:val="dotted" w:sz="4" w:space="0" w:color="auto"/>
              <w:left w:val="nil"/>
              <w:bottom w:val="single"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38%</w:t>
            </w:r>
          </w:p>
        </w:tc>
        <w:tc>
          <w:tcPr>
            <w:tcW w:w="673" w:type="pct"/>
            <w:tcBorders>
              <w:top w:val="dotted" w:sz="4" w:space="0" w:color="auto"/>
              <w:left w:val="nil"/>
              <w:bottom w:val="single"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33%</w:t>
            </w:r>
          </w:p>
        </w:tc>
        <w:tc>
          <w:tcPr>
            <w:tcW w:w="662" w:type="pct"/>
            <w:tcBorders>
              <w:top w:val="dotted" w:sz="4" w:space="0" w:color="auto"/>
              <w:left w:val="nil"/>
              <w:bottom w:val="single" w:sz="4" w:space="0" w:color="auto"/>
              <w:right w:val="nil"/>
            </w:tcBorders>
            <w:shd w:val="clear" w:color="auto" w:fill="auto"/>
            <w:noWrap/>
            <w:vAlign w:val="bottom"/>
          </w:tcPr>
          <w:p w:rsidR="00BA79D3" w:rsidRPr="00EA36FA" w:rsidRDefault="00BA79D3" w:rsidP="00F10556">
            <w:pPr>
              <w:jc w:val="center"/>
              <w:rPr>
                <w:rFonts w:ascii="Calibri" w:eastAsia="Times New Roman" w:hAnsi="Calibri" w:cs="Times New Roman"/>
                <w:color w:val="000000"/>
              </w:rPr>
            </w:pPr>
            <w:r w:rsidRPr="00EA36FA">
              <w:rPr>
                <w:rFonts w:ascii="Calibri" w:eastAsia="Times New Roman" w:hAnsi="Calibri" w:cs="Times New Roman"/>
                <w:color w:val="000000"/>
              </w:rPr>
              <w:t>13%</w:t>
            </w:r>
          </w:p>
        </w:tc>
        <w:tc>
          <w:tcPr>
            <w:tcW w:w="584"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24</w:t>
            </w:r>
          </w:p>
        </w:tc>
      </w:tr>
    </w:tbl>
    <w:p w:rsidR="00BA79D3" w:rsidRDefault="00BA79D3" w:rsidP="00BA79D3">
      <w:pPr>
        <w:rPr>
          <w:sz w:val="16"/>
          <w:szCs w:val="16"/>
        </w:rPr>
      </w:pPr>
      <w:r w:rsidRPr="00E4772D">
        <w:rPr>
          <w:sz w:val="16"/>
          <w:szCs w:val="16"/>
        </w:rPr>
        <w:t>Scores are averaged across jurors</w:t>
      </w:r>
    </w:p>
    <w:p w:rsidR="00BA79D3" w:rsidRDefault="00BA79D3" w:rsidP="00BA79D3"/>
    <w:tbl>
      <w:tblPr>
        <w:tblW w:w="5000" w:type="pct"/>
        <w:tblLayout w:type="fixed"/>
        <w:tblLook w:val="04A0" w:firstRow="1" w:lastRow="0" w:firstColumn="1" w:lastColumn="0" w:noHBand="0" w:noVBand="1"/>
      </w:tblPr>
      <w:tblGrid>
        <w:gridCol w:w="6858"/>
        <w:gridCol w:w="1231"/>
        <w:gridCol w:w="1055"/>
      </w:tblGrid>
      <w:tr w:rsidR="00BA79D3" w:rsidRPr="0023679A" w:rsidTr="00F10556">
        <w:trPr>
          <w:trHeight w:val="300"/>
        </w:trPr>
        <w:tc>
          <w:tcPr>
            <w:tcW w:w="3750"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673"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 xml:space="preserve">Tier 2 or Above </w:t>
            </w:r>
          </w:p>
        </w:tc>
        <w:tc>
          <w:tcPr>
            <w:tcW w:w="577"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Below Tier 2</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Topic </w:t>
            </w:r>
            <w:r>
              <w:rPr>
                <w:rFonts w:ascii="Calibri" w:eastAsia="Times New Roman" w:hAnsi="Calibri" w:cs="Times New Roman"/>
                <w:color w:val="000000"/>
                <w:sz w:val="20"/>
                <w:szCs w:val="20"/>
              </w:rPr>
              <w:t>i</w:t>
            </w:r>
            <w:r w:rsidRPr="0023679A">
              <w:rPr>
                <w:rFonts w:ascii="Calibri" w:eastAsia="Times New Roman" w:hAnsi="Calibri" w:cs="Times New Roman"/>
                <w:color w:val="000000"/>
                <w:sz w:val="20"/>
                <w:szCs w:val="20"/>
              </w:rPr>
              <w:t>dentification</w:t>
            </w:r>
            <w:r>
              <w:rPr>
                <w:rFonts w:ascii="Calibri" w:eastAsia="Times New Roman" w:hAnsi="Calibri" w:cs="Times New Roman"/>
                <w:color w:val="000000"/>
                <w:sz w:val="20"/>
                <w:szCs w:val="20"/>
              </w:rPr>
              <w:t>, m</w:t>
            </w:r>
            <w:r w:rsidRPr="0023679A">
              <w:rPr>
                <w:rFonts w:ascii="Calibri" w:eastAsia="Times New Roman" w:hAnsi="Calibri" w:cs="Times New Roman"/>
                <w:color w:val="000000"/>
                <w:sz w:val="20"/>
                <w:szCs w:val="20"/>
              </w:rPr>
              <w:t>anagement</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52%</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48%</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Explanation of issues</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36%</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64%</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Evidence </w:t>
            </w:r>
            <w:r>
              <w:rPr>
                <w:rFonts w:ascii="Calibri" w:eastAsia="Times New Roman" w:hAnsi="Calibri" w:cs="Times New Roman"/>
                <w:color w:val="000000"/>
                <w:sz w:val="20"/>
                <w:szCs w:val="20"/>
              </w:rPr>
              <w:t>s</w:t>
            </w:r>
            <w:r w:rsidRPr="0023679A">
              <w:rPr>
                <w:rFonts w:ascii="Calibri" w:eastAsia="Times New Roman" w:hAnsi="Calibri" w:cs="Times New Roman"/>
                <w:color w:val="000000"/>
                <w:sz w:val="20"/>
                <w:szCs w:val="20"/>
              </w:rPr>
              <w:t>electing</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using information to investigate a point of view</w:t>
            </w:r>
            <w:r>
              <w:rPr>
                <w:rFonts w:ascii="Calibri" w:eastAsia="Times New Roman" w:hAnsi="Calibri" w:cs="Times New Roman"/>
                <w:color w:val="000000"/>
                <w:sz w:val="20"/>
                <w:szCs w:val="20"/>
              </w:rPr>
              <w:t>/</w:t>
            </w:r>
            <w:r w:rsidRPr="0023679A">
              <w:rPr>
                <w:rFonts w:ascii="Calibri" w:eastAsia="Times New Roman" w:hAnsi="Calibri" w:cs="Times New Roman"/>
                <w:color w:val="000000"/>
                <w:sz w:val="20"/>
                <w:szCs w:val="20"/>
              </w:rPr>
              <w:t>conclusion</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24%</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76%</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Influence of context</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assumptions</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16%</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84%</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Student's position (perspective, thesis/hypothesis)</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14%</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86%</w:t>
            </w:r>
          </w:p>
        </w:tc>
      </w:tr>
      <w:tr w:rsidR="00BA79D3" w:rsidRPr="0023679A" w:rsidTr="00F10556">
        <w:tc>
          <w:tcPr>
            <w:tcW w:w="375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Theoretical f</w:t>
            </w:r>
            <w:r w:rsidRPr="0023679A">
              <w:rPr>
                <w:rFonts w:ascii="Calibri" w:eastAsia="Times New Roman" w:hAnsi="Calibri" w:cs="Times New Roman"/>
                <w:color w:val="000000"/>
                <w:sz w:val="20"/>
                <w:szCs w:val="20"/>
              </w:rPr>
              <w:t>ramework</w:t>
            </w:r>
            <w:r>
              <w:rPr>
                <w:rFonts w:ascii="Calibri" w:eastAsia="Times New Roman" w:hAnsi="Calibri" w:cs="Times New Roman"/>
                <w:color w:val="000000"/>
                <w:sz w:val="20"/>
                <w:szCs w:val="20"/>
              </w:rPr>
              <w:t>, a</w:t>
            </w:r>
            <w:r w:rsidRPr="0023679A">
              <w:rPr>
                <w:rFonts w:ascii="Calibri" w:eastAsia="Times New Roman" w:hAnsi="Calibri" w:cs="Times New Roman"/>
                <w:color w:val="000000"/>
                <w:sz w:val="20"/>
                <w:szCs w:val="20"/>
              </w:rPr>
              <w:t>pproach</w:t>
            </w:r>
          </w:p>
        </w:tc>
        <w:tc>
          <w:tcPr>
            <w:tcW w:w="67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41%</w:t>
            </w:r>
          </w:p>
        </w:tc>
        <w:tc>
          <w:tcPr>
            <w:tcW w:w="577"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59%</w:t>
            </w:r>
          </w:p>
        </w:tc>
      </w:tr>
      <w:tr w:rsidR="00BA79D3" w:rsidRPr="0023679A" w:rsidTr="00F10556">
        <w:tc>
          <w:tcPr>
            <w:tcW w:w="3750" w:type="pct"/>
            <w:tcBorders>
              <w:top w:val="dotted" w:sz="4" w:space="0" w:color="auto"/>
              <w:left w:val="nil"/>
              <w:bottom w:val="single"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Conclusions and related outcomes </w:t>
            </w:r>
          </w:p>
        </w:tc>
        <w:tc>
          <w:tcPr>
            <w:tcW w:w="673"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17%</w:t>
            </w:r>
          </w:p>
        </w:tc>
        <w:tc>
          <w:tcPr>
            <w:tcW w:w="577"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83%</w:t>
            </w:r>
          </w:p>
        </w:tc>
      </w:tr>
    </w:tbl>
    <w:p w:rsidR="00BA79D3" w:rsidRDefault="00BA79D3" w:rsidP="00BA79D3"/>
    <w:p w:rsidR="00BA79D3" w:rsidRPr="00BB7465" w:rsidRDefault="00BA79D3" w:rsidP="00BA79D3">
      <w:pPr>
        <w:rPr>
          <w:u w:val="single"/>
        </w:rPr>
      </w:pPr>
      <w:r>
        <w:rPr>
          <w:u w:val="single"/>
        </w:rPr>
        <w:t>Percentage NA (Critical Thinking, Tier 1 and 2)</w:t>
      </w:r>
    </w:p>
    <w:tbl>
      <w:tblPr>
        <w:tblW w:w="3111" w:type="pct"/>
        <w:tblLayout w:type="fixed"/>
        <w:tblLook w:val="04A0" w:firstRow="1" w:lastRow="0" w:firstColumn="1" w:lastColumn="0" w:noHBand="0" w:noVBand="1"/>
      </w:tblPr>
      <w:tblGrid>
        <w:gridCol w:w="4210"/>
        <w:gridCol w:w="1479"/>
      </w:tblGrid>
      <w:tr w:rsidR="00BA79D3" w:rsidRPr="0023679A" w:rsidTr="00F10556">
        <w:trPr>
          <w:trHeight w:val="300"/>
        </w:trPr>
        <w:tc>
          <w:tcPr>
            <w:tcW w:w="3700"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1300" w:type="pct"/>
            <w:tcBorders>
              <w:top w:val="nil"/>
              <w:left w:val="nil"/>
              <w:bottom w:val="dotted" w:sz="4" w:space="0" w:color="auto"/>
              <w:right w:val="nil"/>
            </w:tcBorders>
            <w:shd w:val="clear" w:color="auto" w:fill="000000" w:themeFill="text1"/>
            <w:vAlign w:val="bottom"/>
          </w:tcPr>
          <w:p w:rsidR="00BA79D3"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348 Assessments</w:t>
            </w:r>
          </w:p>
        </w:tc>
      </w:tr>
      <w:tr w:rsidR="00BA79D3" w:rsidRPr="0023679A" w:rsidTr="00F10556">
        <w:trPr>
          <w:trHeight w:val="287"/>
        </w:trPr>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Topic </w:t>
            </w:r>
            <w:r>
              <w:rPr>
                <w:rFonts w:ascii="Calibri" w:eastAsia="Times New Roman" w:hAnsi="Calibri" w:cs="Times New Roman"/>
                <w:color w:val="000000"/>
                <w:sz w:val="20"/>
                <w:szCs w:val="20"/>
              </w:rPr>
              <w:t>i</w:t>
            </w:r>
            <w:r w:rsidRPr="0023679A">
              <w:rPr>
                <w:rFonts w:ascii="Calibri" w:eastAsia="Times New Roman" w:hAnsi="Calibri" w:cs="Times New Roman"/>
                <w:color w:val="000000"/>
                <w:sz w:val="20"/>
                <w:szCs w:val="20"/>
              </w:rPr>
              <w:t>dentification</w:t>
            </w:r>
            <w:r>
              <w:rPr>
                <w:rFonts w:ascii="Calibri" w:eastAsia="Times New Roman" w:hAnsi="Calibri" w:cs="Times New Roman"/>
                <w:color w:val="000000"/>
                <w:sz w:val="20"/>
                <w:szCs w:val="20"/>
              </w:rPr>
              <w:t>, m</w:t>
            </w:r>
            <w:r w:rsidRPr="0023679A">
              <w:rPr>
                <w:rFonts w:ascii="Calibri" w:eastAsia="Times New Roman" w:hAnsi="Calibri" w:cs="Times New Roman"/>
                <w:color w:val="000000"/>
                <w:sz w:val="20"/>
                <w:szCs w:val="20"/>
              </w:rPr>
              <w:t>anagement</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15%</w:t>
            </w:r>
          </w:p>
        </w:tc>
      </w:tr>
      <w:tr w:rsidR="00BA79D3" w:rsidRPr="0023679A" w:rsidTr="00F10556">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Explanation of issues</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w:t>
            </w:r>
          </w:p>
        </w:tc>
      </w:tr>
      <w:tr w:rsidR="00BA79D3" w:rsidRPr="0023679A" w:rsidTr="00F10556">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Evidence </w:t>
            </w:r>
            <w:r>
              <w:rPr>
                <w:rFonts w:ascii="Calibri" w:eastAsia="Times New Roman" w:hAnsi="Calibri" w:cs="Times New Roman"/>
                <w:color w:val="000000"/>
                <w:sz w:val="20"/>
                <w:szCs w:val="20"/>
              </w:rPr>
              <w:t>s</w:t>
            </w:r>
            <w:r w:rsidRPr="0023679A">
              <w:rPr>
                <w:rFonts w:ascii="Calibri" w:eastAsia="Times New Roman" w:hAnsi="Calibri" w:cs="Times New Roman"/>
                <w:color w:val="000000"/>
                <w:sz w:val="20"/>
                <w:szCs w:val="20"/>
              </w:rPr>
              <w:t>electing</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using information to investigate a point of view</w:t>
            </w:r>
            <w:r>
              <w:rPr>
                <w:rFonts w:ascii="Calibri" w:eastAsia="Times New Roman" w:hAnsi="Calibri" w:cs="Times New Roman"/>
                <w:color w:val="000000"/>
                <w:sz w:val="20"/>
                <w:szCs w:val="20"/>
              </w:rPr>
              <w:t>/</w:t>
            </w:r>
            <w:r w:rsidRPr="0023679A">
              <w:rPr>
                <w:rFonts w:ascii="Calibri" w:eastAsia="Times New Roman" w:hAnsi="Calibri" w:cs="Times New Roman"/>
                <w:color w:val="000000"/>
                <w:sz w:val="20"/>
                <w:szCs w:val="20"/>
              </w:rPr>
              <w:t>conclusion</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14%</w:t>
            </w:r>
          </w:p>
        </w:tc>
      </w:tr>
      <w:tr w:rsidR="00BA79D3" w:rsidRPr="0023679A" w:rsidTr="00F10556">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Influence of context</w:t>
            </w:r>
            <w:r>
              <w:rPr>
                <w:rFonts w:ascii="Calibri" w:eastAsia="Times New Roman" w:hAnsi="Calibri" w:cs="Times New Roman"/>
                <w:color w:val="000000"/>
                <w:sz w:val="20"/>
                <w:szCs w:val="20"/>
              </w:rPr>
              <w:t xml:space="preserve">, </w:t>
            </w:r>
            <w:r w:rsidRPr="0023679A">
              <w:rPr>
                <w:rFonts w:ascii="Calibri" w:eastAsia="Times New Roman" w:hAnsi="Calibri" w:cs="Times New Roman"/>
                <w:color w:val="000000"/>
                <w:sz w:val="20"/>
                <w:szCs w:val="20"/>
              </w:rPr>
              <w:t>assumptions</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w:t>
            </w:r>
          </w:p>
        </w:tc>
      </w:tr>
      <w:tr w:rsidR="00BA79D3" w:rsidRPr="0023679A" w:rsidTr="00F10556">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Student's position (perspective, thesis/hypothesis)</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13%</w:t>
            </w:r>
          </w:p>
        </w:tc>
      </w:tr>
      <w:tr w:rsidR="00BA79D3" w:rsidRPr="0023679A" w:rsidTr="00F10556">
        <w:tc>
          <w:tcPr>
            <w:tcW w:w="3700" w:type="pct"/>
            <w:tcBorders>
              <w:top w:val="dotted" w:sz="4" w:space="0" w:color="auto"/>
              <w:left w:val="nil"/>
              <w:bottom w:val="dotted"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Theoretical f</w:t>
            </w:r>
            <w:r w:rsidRPr="0023679A">
              <w:rPr>
                <w:rFonts w:ascii="Calibri" w:eastAsia="Times New Roman" w:hAnsi="Calibri" w:cs="Times New Roman"/>
                <w:color w:val="000000"/>
                <w:sz w:val="20"/>
                <w:szCs w:val="20"/>
              </w:rPr>
              <w:t>ramework</w:t>
            </w:r>
            <w:r>
              <w:rPr>
                <w:rFonts w:ascii="Calibri" w:eastAsia="Times New Roman" w:hAnsi="Calibri" w:cs="Times New Roman"/>
                <w:color w:val="000000"/>
                <w:sz w:val="20"/>
                <w:szCs w:val="20"/>
              </w:rPr>
              <w:t>, a</w:t>
            </w:r>
            <w:r w:rsidRPr="0023679A">
              <w:rPr>
                <w:rFonts w:ascii="Calibri" w:eastAsia="Times New Roman" w:hAnsi="Calibri" w:cs="Times New Roman"/>
                <w:color w:val="000000"/>
                <w:sz w:val="20"/>
                <w:szCs w:val="20"/>
              </w:rPr>
              <w:t>pproach</w:t>
            </w:r>
          </w:p>
        </w:tc>
        <w:tc>
          <w:tcPr>
            <w:tcW w:w="130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15%</w:t>
            </w:r>
          </w:p>
        </w:tc>
      </w:tr>
      <w:tr w:rsidR="00BA79D3" w:rsidRPr="0023679A" w:rsidTr="00F10556">
        <w:tc>
          <w:tcPr>
            <w:tcW w:w="3700" w:type="pct"/>
            <w:tcBorders>
              <w:top w:val="dotted" w:sz="4" w:space="0" w:color="auto"/>
              <w:left w:val="nil"/>
              <w:bottom w:val="single"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sidRPr="0023679A">
              <w:rPr>
                <w:rFonts w:ascii="Calibri" w:eastAsia="Times New Roman" w:hAnsi="Calibri" w:cs="Times New Roman"/>
                <w:color w:val="000000"/>
                <w:sz w:val="20"/>
                <w:szCs w:val="20"/>
              </w:rPr>
              <w:t xml:space="preserve">Conclusions and related outcomes </w:t>
            </w:r>
          </w:p>
        </w:tc>
        <w:tc>
          <w:tcPr>
            <w:tcW w:w="1300"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13%</w:t>
            </w:r>
          </w:p>
        </w:tc>
      </w:tr>
    </w:tbl>
    <w:p w:rsidR="009D123C" w:rsidRDefault="009D123C" w:rsidP="009D123C">
      <w:pPr>
        <w:jc w:val="center"/>
        <w:rPr>
          <w:b/>
        </w:rPr>
      </w:pPr>
    </w:p>
    <w:p w:rsidR="00BA79D3" w:rsidRPr="009A30AF" w:rsidRDefault="00BA79D3" w:rsidP="009D123C">
      <w:pPr>
        <w:jc w:val="center"/>
        <w:rPr>
          <w:b/>
        </w:rPr>
      </w:pPr>
      <w:r w:rsidRPr="004A7AE1">
        <w:rPr>
          <w:b/>
        </w:rPr>
        <w:t>Oral Communication Results</w:t>
      </w:r>
    </w:p>
    <w:p w:rsidR="00BA79D3" w:rsidRPr="004A7AE1" w:rsidRDefault="00BA79D3" w:rsidP="00BA79D3">
      <w:pPr>
        <w:rPr>
          <w:u w:val="single"/>
        </w:rPr>
      </w:pPr>
      <w:r w:rsidRPr="004A7AE1">
        <w:rPr>
          <w:u w:val="single"/>
        </w:rPr>
        <w:t xml:space="preserve">Of Note </w:t>
      </w:r>
    </w:p>
    <w:p w:rsidR="00BA79D3" w:rsidRPr="004A7AE1" w:rsidRDefault="00BA79D3" w:rsidP="00BA79D3">
      <w:pPr>
        <w:pStyle w:val="ListParagraph"/>
        <w:widowControl/>
        <w:numPr>
          <w:ilvl w:val="0"/>
          <w:numId w:val="4"/>
        </w:numPr>
        <w:contextualSpacing/>
        <w:rPr>
          <w:rFonts w:ascii="Garamond" w:hAnsi="Garamond"/>
          <w:b/>
        </w:rPr>
      </w:pPr>
      <w:r w:rsidRPr="004A7AE1">
        <w:rPr>
          <w:rFonts w:ascii="Garamond" w:hAnsi="Garamond"/>
        </w:rPr>
        <w:t xml:space="preserve">Only Tier 1 courses were included in these analyses; there were insufficient Tier 2 courses for inclusion. </w:t>
      </w:r>
    </w:p>
    <w:p w:rsidR="00BA79D3" w:rsidRPr="004A7AE1" w:rsidRDefault="00BA79D3" w:rsidP="00BA79D3">
      <w:pPr>
        <w:pStyle w:val="ListParagraph"/>
        <w:widowControl/>
        <w:numPr>
          <w:ilvl w:val="0"/>
          <w:numId w:val="4"/>
        </w:numPr>
        <w:contextualSpacing/>
        <w:rPr>
          <w:rFonts w:ascii="Garamond" w:hAnsi="Garamond"/>
          <w:b/>
        </w:rPr>
      </w:pPr>
      <w:r w:rsidRPr="004A7AE1">
        <w:rPr>
          <w:rFonts w:ascii="Garamond" w:hAnsi="Garamond"/>
        </w:rPr>
        <w:t xml:space="preserve">Over three quarters of oral presentations were scored at or above Tier 1 on the </w:t>
      </w:r>
      <w:r w:rsidRPr="004A7AE1">
        <w:rPr>
          <w:rFonts w:ascii="Garamond" w:hAnsi="Garamond"/>
          <w:i/>
        </w:rPr>
        <w:t>Language</w:t>
      </w:r>
      <w:r w:rsidRPr="004A7AE1">
        <w:rPr>
          <w:rFonts w:ascii="Garamond" w:hAnsi="Garamond"/>
        </w:rPr>
        <w:t xml:space="preserve"> dimension, the highest of the five dimensions. This is close to the common target of 80%.</w:t>
      </w:r>
    </w:p>
    <w:p w:rsidR="00BA79D3" w:rsidRPr="004A7AE1" w:rsidRDefault="00BA79D3" w:rsidP="00BA79D3">
      <w:pPr>
        <w:pStyle w:val="ListParagraph"/>
        <w:widowControl/>
        <w:numPr>
          <w:ilvl w:val="0"/>
          <w:numId w:val="2"/>
        </w:numPr>
        <w:contextualSpacing/>
        <w:rPr>
          <w:rFonts w:ascii="Garamond" w:hAnsi="Garamond"/>
        </w:rPr>
      </w:pPr>
      <w:r w:rsidRPr="004A7AE1">
        <w:rPr>
          <w:rFonts w:ascii="Garamond" w:hAnsi="Garamond"/>
        </w:rPr>
        <w:t>An average of 20% of oral presentations fell below the benchmark level; this is significantly lower than the percentage below benchmark on the other learning goals.</w:t>
      </w:r>
    </w:p>
    <w:p w:rsidR="00BA79D3" w:rsidRPr="004A7AE1" w:rsidRDefault="00BA79D3" w:rsidP="00BA79D3">
      <w:pPr>
        <w:pStyle w:val="ListParagraph"/>
        <w:widowControl/>
        <w:numPr>
          <w:ilvl w:val="0"/>
          <w:numId w:val="2"/>
        </w:numPr>
        <w:contextualSpacing/>
        <w:rPr>
          <w:rFonts w:ascii="Garamond" w:hAnsi="Garamond"/>
        </w:rPr>
      </w:pPr>
      <w:r w:rsidRPr="004A7AE1">
        <w:rPr>
          <w:rFonts w:ascii="Garamond" w:hAnsi="Garamond"/>
        </w:rPr>
        <w:t xml:space="preserve">The </w:t>
      </w:r>
      <w:r w:rsidRPr="004A7AE1">
        <w:rPr>
          <w:rFonts w:ascii="Garamond" w:hAnsi="Garamond"/>
          <w:i/>
        </w:rPr>
        <w:t>Supporting Material</w:t>
      </w:r>
      <w:r w:rsidRPr="004A7AE1">
        <w:rPr>
          <w:rFonts w:ascii="Garamond" w:hAnsi="Garamond"/>
        </w:rPr>
        <w:t xml:space="preserve"> dimension had the most juror NAs. In addition, for this dimension, there was a 3- or 4-point difference in scoring for 26% of juror pairs, which is quite high. Strangely, the percent of jurors with perfect agreement is quite good, but the percent within one point is not so good. There may have been confusion among jurors about what was meant by supporting material in the context of an oral presentation. This dimension requires further investigation.</w:t>
      </w:r>
    </w:p>
    <w:p w:rsidR="00BA79D3" w:rsidRPr="004A7AE1" w:rsidRDefault="00BA79D3" w:rsidP="00BA79D3">
      <w:pPr>
        <w:pStyle w:val="ListParagraph"/>
        <w:widowControl/>
        <w:numPr>
          <w:ilvl w:val="0"/>
          <w:numId w:val="2"/>
        </w:numPr>
        <w:contextualSpacing/>
        <w:rPr>
          <w:rFonts w:ascii="Garamond" w:hAnsi="Garamond"/>
        </w:rPr>
      </w:pPr>
      <w:r w:rsidRPr="004A7AE1">
        <w:rPr>
          <w:rFonts w:ascii="Garamond" w:hAnsi="Garamond"/>
        </w:rPr>
        <w:t xml:space="preserve">Oral Communication has a higher percentage below benchmark than the other learning goals, with </w:t>
      </w:r>
      <w:r w:rsidRPr="004A7AE1">
        <w:rPr>
          <w:rFonts w:ascii="Garamond" w:hAnsi="Garamond"/>
          <w:i/>
        </w:rPr>
        <w:t xml:space="preserve">Delivery </w:t>
      </w:r>
      <w:r w:rsidRPr="004A7AE1">
        <w:rPr>
          <w:rFonts w:ascii="Garamond" w:hAnsi="Garamond"/>
        </w:rPr>
        <w:t xml:space="preserve">the highest at 29% of students below benchmark. </w:t>
      </w:r>
    </w:p>
    <w:p w:rsidR="009A30AF" w:rsidRDefault="009A30AF" w:rsidP="00BA79D3"/>
    <w:p w:rsidR="00BA79D3" w:rsidRPr="003F323B" w:rsidRDefault="00BA79D3" w:rsidP="00BA79D3">
      <w:pPr>
        <w:rPr>
          <w:u w:val="single"/>
        </w:rPr>
      </w:pPr>
      <w:r>
        <w:rPr>
          <w:u w:val="single"/>
        </w:rPr>
        <w:t>Oral Communication Artifact Ratings, Tier 1</w:t>
      </w:r>
    </w:p>
    <w:tbl>
      <w:tblPr>
        <w:tblW w:w="4952" w:type="pct"/>
        <w:tblLayout w:type="fixed"/>
        <w:tblLook w:val="04A0" w:firstRow="1" w:lastRow="0" w:firstColumn="1" w:lastColumn="0" w:noHBand="0" w:noVBand="1"/>
      </w:tblPr>
      <w:tblGrid>
        <w:gridCol w:w="2024"/>
        <w:gridCol w:w="1054"/>
        <w:gridCol w:w="1056"/>
        <w:gridCol w:w="1041"/>
        <w:gridCol w:w="1293"/>
        <w:gridCol w:w="1293"/>
        <w:gridCol w:w="1295"/>
      </w:tblGrid>
      <w:tr w:rsidR="00BA79D3" w:rsidRPr="0023679A" w:rsidTr="00F10556">
        <w:trPr>
          <w:trHeight w:val="300"/>
        </w:trPr>
        <w:tc>
          <w:tcPr>
            <w:tcW w:w="1117"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582"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3</w:t>
            </w:r>
          </w:p>
        </w:tc>
        <w:tc>
          <w:tcPr>
            <w:tcW w:w="583"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Tier 2 to &lt; Tier 3</w:t>
            </w:r>
          </w:p>
        </w:tc>
        <w:tc>
          <w:tcPr>
            <w:tcW w:w="575"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1</w:t>
            </w:r>
            <w:r>
              <w:rPr>
                <w:rFonts w:ascii="Calibri" w:eastAsia="Times New Roman" w:hAnsi="Calibri" w:cs="Times New Roman"/>
                <w:color w:val="FFFFFF" w:themeColor="background1"/>
                <w:sz w:val="20"/>
                <w:szCs w:val="20"/>
              </w:rPr>
              <w:t xml:space="preserve"> to &lt; Tier 2</w:t>
            </w:r>
          </w:p>
        </w:tc>
        <w:tc>
          <w:tcPr>
            <w:tcW w:w="714"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Benchmark</w:t>
            </w:r>
            <w:r>
              <w:rPr>
                <w:rFonts w:ascii="Calibri" w:eastAsia="Times New Roman" w:hAnsi="Calibri" w:cs="Times New Roman"/>
                <w:color w:val="FFFFFF" w:themeColor="background1"/>
                <w:sz w:val="20"/>
                <w:szCs w:val="20"/>
              </w:rPr>
              <w:t xml:space="preserve"> to &lt; Tier 1</w:t>
            </w:r>
          </w:p>
        </w:tc>
        <w:tc>
          <w:tcPr>
            <w:tcW w:w="714"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&lt; Benchmark</w:t>
            </w:r>
          </w:p>
        </w:tc>
        <w:tc>
          <w:tcPr>
            <w:tcW w:w="715" w:type="pct"/>
            <w:tcBorders>
              <w:top w:val="nil"/>
              <w:left w:val="nil"/>
              <w:bottom w:val="dotted" w:sz="4" w:space="0" w:color="auto"/>
              <w:right w:val="nil"/>
            </w:tcBorders>
            <w:shd w:val="clear" w:color="auto" w:fill="000000" w:themeFill="text1"/>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Students</w:t>
            </w:r>
          </w:p>
        </w:tc>
      </w:tr>
      <w:tr w:rsidR="00BA79D3" w:rsidRPr="006B5150" w:rsidTr="00F10556">
        <w:trPr>
          <w:trHeight w:val="300"/>
        </w:trPr>
        <w:tc>
          <w:tcPr>
            <w:tcW w:w="1117"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Organization</w:t>
            </w:r>
          </w:p>
        </w:tc>
        <w:tc>
          <w:tcPr>
            <w:tcW w:w="582"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w:t>
            </w:r>
          </w:p>
        </w:tc>
        <w:tc>
          <w:tcPr>
            <w:tcW w:w="583"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12%</w:t>
            </w:r>
          </w:p>
        </w:tc>
        <w:tc>
          <w:tcPr>
            <w:tcW w:w="575"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50%</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20%</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16%</w:t>
            </w:r>
          </w:p>
        </w:tc>
        <w:tc>
          <w:tcPr>
            <w:tcW w:w="715"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123</w:t>
            </w:r>
          </w:p>
        </w:tc>
      </w:tr>
      <w:tr w:rsidR="00BA79D3" w:rsidRPr="006B5150" w:rsidTr="00F10556">
        <w:trPr>
          <w:trHeight w:val="300"/>
        </w:trPr>
        <w:tc>
          <w:tcPr>
            <w:tcW w:w="1117"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L</w:t>
            </w:r>
            <w:r w:rsidRPr="006B5150">
              <w:rPr>
                <w:rFonts w:ascii="Calibri" w:eastAsia="Times New Roman" w:hAnsi="Calibri" w:cs="Times New Roman"/>
                <w:color w:val="000000"/>
              </w:rPr>
              <w:t>anguage</w:t>
            </w:r>
          </w:p>
        </w:tc>
        <w:tc>
          <w:tcPr>
            <w:tcW w:w="582"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w:t>
            </w:r>
          </w:p>
        </w:tc>
        <w:tc>
          <w:tcPr>
            <w:tcW w:w="583"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15%</w:t>
            </w:r>
          </w:p>
        </w:tc>
        <w:tc>
          <w:tcPr>
            <w:tcW w:w="575"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59%</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15%</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10%</w:t>
            </w:r>
          </w:p>
        </w:tc>
        <w:tc>
          <w:tcPr>
            <w:tcW w:w="715"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123</w:t>
            </w:r>
          </w:p>
        </w:tc>
      </w:tr>
      <w:tr w:rsidR="00BA79D3" w:rsidRPr="006B5150" w:rsidTr="00F10556">
        <w:trPr>
          <w:trHeight w:val="300"/>
        </w:trPr>
        <w:tc>
          <w:tcPr>
            <w:tcW w:w="1117"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D</w:t>
            </w:r>
            <w:r w:rsidRPr="006B5150">
              <w:rPr>
                <w:rFonts w:ascii="Calibri" w:eastAsia="Times New Roman" w:hAnsi="Calibri" w:cs="Times New Roman"/>
                <w:color w:val="000000"/>
              </w:rPr>
              <w:t>elivery</w:t>
            </w:r>
          </w:p>
        </w:tc>
        <w:tc>
          <w:tcPr>
            <w:tcW w:w="582"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w:t>
            </w:r>
          </w:p>
        </w:tc>
        <w:tc>
          <w:tcPr>
            <w:tcW w:w="583"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11%</w:t>
            </w:r>
          </w:p>
        </w:tc>
        <w:tc>
          <w:tcPr>
            <w:tcW w:w="575"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41%</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17%</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29%</w:t>
            </w:r>
          </w:p>
        </w:tc>
        <w:tc>
          <w:tcPr>
            <w:tcW w:w="715"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123</w:t>
            </w:r>
          </w:p>
        </w:tc>
      </w:tr>
      <w:tr w:rsidR="00BA79D3" w:rsidRPr="006B5150" w:rsidTr="00F10556">
        <w:trPr>
          <w:trHeight w:val="300"/>
        </w:trPr>
        <w:tc>
          <w:tcPr>
            <w:tcW w:w="1117"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 xml:space="preserve">Supporting </w:t>
            </w:r>
            <w:r w:rsidRPr="006B5150">
              <w:rPr>
                <w:rFonts w:ascii="Calibri" w:eastAsia="Times New Roman" w:hAnsi="Calibri" w:cs="Times New Roman"/>
                <w:color w:val="000000"/>
              </w:rPr>
              <w:t>material</w:t>
            </w:r>
          </w:p>
        </w:tc>
        <w:tc>
          <w:tcPr>
            <w:tcW w:w="582"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w:t>
            </w:r>
          </w:p>
        </w:tc>
        <w:tc>
          <w:tcPr>
            <w:tcW w:w="583"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14%</w:t>
            </w:r>
          </w:p>
        </w:tc>
        <w:tc>
          <w:tcPr>
            <w:tcW w:w="575"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33%</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27%</w:t>
            </w:r>
          </w:p>
        </w:tc>
        <w:tc>
          <w:tcPr>
            <w:tcW w:w="714"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24%</w:t>
            </w:r>
          </w:p>
        </w:tc>
        <w:tc>
          <w:tcPr>
            <w:tcW w:w="715"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120</w:t>
            </w:r>
          </w:p>
        </w:tc>
      </w:tr>
      <w:tr w:rsidR="00BA79D3" w:rsidRPr="006B5150" w:rsidTr="00F10556">
        <w:trPr>
          <w:trHeight w:val="300"/>
        </w:trPr>
        <w:tc>
          <w:tcPr>
            <w:tcW w:w="1117"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 xml:space="preserve">Central </w:t>
            </w:r>
            <w:r w:rsidRPr="006B5150">
              <w:rPr>
                <w:rFonts w:ascii="Calibri" w:eastAsia="Times New Roman" w:hAnsi="Calibri" w:cs="Times New Roman"/>
                <w:color w:val="000000"/>
              </w:rPr>
              <w:t>message</w:t>
            </w:r>
          </w:p>
        </w:tc>
        <w:tc>
          <w:tcPr>
            <w:tcW w:w="582"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w:t>
            </w:r>
          </w:p>
        </w:tc>
        <w:tc>
          <w:tcPr>
            <w:tcW w:w="583"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13%</w:t>
            </w:r>
          </w:p>
        </w:tc>
        <w:tc>
          <w:tcPr>
            <w:tcW w:w="575"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44%</w:t>
            </w:r>
          </w:p>
        </w:tc>
        <w:tc>
          <w:tcPr>
            <w:tcW w:w="714"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20%</w:t>
            </w:r>
          </w:p>
        </w:tc>
        <w:tc>
          <w:tcPr>
            <w:tcW w:w="714"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jc w:val="center"/>
              <w:rPr>
                <w:rFonts w:ascii="Calibri" w:eastAsia="Times New Roman" w:hAnsi="Calibri" w:cs="Times New Roman"/>
                <w:color w:val="000000"/>
              </w:rPr>
            </w:pPr>
            <w:r w:rsidRPr="006B5150">
              <w:rPr>
                <w:rFonts w:ascii="Calibri" w:eastAsia="Times New Roman" w:hAnsi="Calibri" w:cs="Times New Roman"/>
                <w:color w:val="000000"/>
              </w:rPr>
              <w:t>21%</w:t>
            </w:r>
          </w:p>
        </w:tc>
        <w:tc>
          <w:tcPr>
            <w:tcW w:w="715"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123</w:t>
            </w:r>
          </w:p>
        </w:tc>
      </w:tr>
    </w:tbl>
    <w:p w:rsidR="00BA79D3" w:rsidRPr="00EA5B87" w:rsidRDefault="00BA79D3" w:rsidP="00BA79D3">
      <w:pPr>
        <w:rPr>
          <w:sz w:val="16"/>
          <w:szCs w:val="16"/>
        </w:rPr>
      </w:pPr>
      <w:r w:rsidRPr="00E4772D">
        <w:rPr>
          <w:sz w:val="16"/>
          <w:szCs w:val="16"/>
        </w:rPr>
        <w:t>Scores are averaged across jurors</w:t>
      </w:r>
    </w:p>
    <w:tbl>
      <w:tblPr>
        <w:tblW w:w="2981" w:type="pct"/>
        <w:tblLayout w:type="fixed"/>
        <w:tblLook w:val="04A0" w:firstRow="1" w:lastRow="0" w:firstColumn="1" w:lastColumn="0" w:noHBand="0" w:noVBand="1"/>
      </w:tblPr>
      <w:tblGrid>
        <w:gridCol w:w="2024"/>
        <w:gridCol w:w="1669"/>
        <w:gridCol w:w="1759"/>
      </w:tblGrid>
      <w:tr w:rsidR="00BA79D3" w:rsidRPr="0023679A" w:rsidTr="00F10556">
        <w:trPr>
          <w:trHeight w:val="300"/>
        </w:trPr>
        <w:tc>
          <w:tcPr>
            <w:tcW w:w="1856"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1531"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 xml:space="preserve">Tier 1 or Above </w:t>
            </w:r>
          </w:p>
        </w:tc>
        <w:tc>
          <w:tcPr>
            <w:tcW w:w="1613"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Below Tier 1</w:t>
            </w:r>
          </w:p>
        </w:tc>
      </w:tr>
      <w:tr w:rsidR="00BA79D3" w:rsidRPr="006B5150" w:rsidTr="00F10556">
        <w:trPr>
          <w:trHeight w:val="300"/>
        </w:trPr>
        <w:tc>
          <w:tcPr>
            <w:tcW w:w="1856"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Organization</w:t>
            </w:r>
          </w:p>
        </w:tc>
        <w:tc>
          <w:tcPr>
            <w:tcW w:w="153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64%</w:t>
            </w:r>
          </w:p>
        </w:tc>
        <w:tc>
          <w:tcPr>
            <w:tcW w:w="161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36%</w:t>
            </w:r>
          </w:p>
        </w:tc>
      </w:tr>
      <w:tr w:rsidR="00BA79D3" w:rsidRPr="006B5150" w:rsidTr="00F10556">
        <w:trPr>
          <w:trHeight w:val="300"/>
        </w:trPr>
        <w:tc>
          <w:tcPr>
            <w:tcW w:w="1856"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L</w:t>
            </w:r>
            <w:r w:rsidRPr="006B5150">
              <w:rPr>
                <w:rFonts w:ascii="Calibri" w:eastAsia="Times New Roman" w:hAnsi="Calibri" w:cs="Times New Roman"/>
                <w:color w:val="000000"/>
              </w:rPr>
              <w:t>anguage</w:t>
            </w:r>
          </w:p>
        </w:tc>
        <w:tc>
          <w:tcPr>
            <w:tcW w:w="153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76%</w:t>
            </w:r>
          </w:p>
        </w:tc>
        <w:tc>
          <w:tcPr>
            <w:tcW w:w="161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24%</w:t>
            </w:r>
          </w:p>
        </w:tc>
      </w:tr>
      <w:tr w:rsidR="00BA79D3" w:rsidRPr="006B5150" w:rsidTr="00F10556">
        <w:trPr>
          <w:trHeight w:val="300"/>
        </w:trPr>
        <w:tc>
          <w:tcPr>
            <w:tcW w:w="1856"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D</w:t>
            </w:r>
            <w:r w:rsidRPr="006B5150">
              <w:rPr>
                <w:rFonts w:ascii="Calibri" w:eastAsia="Times New Roman" w:hAnsi="Calibri" w:cs="Times New Roman"/>
                <w:color w:val="000000"/>
              </w:rPr>
              <w:t>elivery</w:t>
            </w:r>
          </w:p>
        </w:tc>
        <w:tc>
          <w:tcPr>
            <w:tcW w:w="153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54%</w:t>
            </w:r>
          </w:p>
        </w:tc>
        <w:tc>
          <w:tcPr>
            <w:tcW w:w="161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46%</w:t>
            </w:r>
          </w:p>
        </w:tc>
      </w:tr>
      <w:tr w:rsidR="00BA79D3" w:rsidRPr="006B5150" w:rsidTr="00F10556">
        <w:trPr>
          <w:trHeight w:val="300"/>
        </w:trPr>
        <w:tc>
          <w:tcPr>
            <w:tcW w:w="1856" w:type="pct"/>
            <w:tcBorders>
              <w:top w:val="dotted" w:sz="4" w:space="0" w:color="auto"/>
              <w:left w:val="nil"/>
              <w:bottom w:val="dotted"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 xml:space="preserve">Supporting </w:t>
            </w:r>
            <w:r w:rsidRPr="006B5150">
              <w:rPr>
                <w:rFonts w:ascii="Calibri" w:eastAsia="Times New Roman" w:hAnsi="Calibri" w:cs="Times New Roman"/>
                <w:color w:val="000000"/>
              </w:rPr>
              <w:t>material</w:t>
            </w:r>
          </w:p>
        </w:tc>
        <w:tc>
          <w:tcPr>
            <w:tcW w:w="153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49%</w:t>
            </w:r>
          </w:p>
        </w:tc>
        <w:tc>
          <w:tcPr>
            <w:tcW w:w="1613"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51%</w:t>
            </w:r>
          </w:p>
        </w:tc>
      </w:tr>
      <w:tr w:rsidR="00BA79D3" w:rsidRPr="006B5150" w:rsidTr="00F10556">
        <w:trPr>
          <w:trHeight w:val="300"/>
        </w:trPr>
        <w:tc>
          <w:tcPr>
            <w:tcW w:w="1856" w:type="pct"/>
            <w:tcBorders>
              <w:top w:val="dotted" w:sz="4" w:space="0" w:color="auto"/>
              <w:left w:val="nil"/>
              <w:bottom w:val="single" w:sz="4" w:space="0" w:color="auto"/>
              <w:right w:val="nil"/>
            </w:tcBorders>
            <w:shd w:val="clear" w:color="auto" w:fill="auto"/>
            <w:noWrap/>
            <w:vAlign w:val="bottom"/>
            <w:hideMark/>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 xml:space="preserve">Central </w:t>
            </w:r>
            <w:r w:rsidRPr="006B5150">
              <w:rPr>
                <w:rFonts w:ascii="Calibri" w:eastAsia="Times New Roman" w:hAnsi="Calibri" w:cs="Times New Roman"/>
                <w:color w:val="000000"/>
              </w:rPr>
              <w:t>message</w:t>
            </w:r>
          </w:p>
        </w:tc>
        <w:tc>
          <w:tcPr>
            <w:tcW w:w="1531"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59%</w:t>
            </w:r>
          </w:p>
        </w:tc>
        <w:tc>
          <w:tcPr>
            <w:tcW w:w="1613"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41%</w:t>
            </w:r>
          </w:p>
        </w:tc>
      </w:tr>
    </w:tbl>
    <w:p w:rsidR="00BA79D3" w:rsidRDefault="00BA79D3" w:rsidP="00BA79D3"/>
    <w:p w:rsidR="00BA79D3" w:rsidRPr="00DB5318" w:rsidRDefault="00BA79D3" w:rsidP="00BA79D3">
      <w:pPr>
        <w:rPr>
          <w:u w:val="single"/>
        </w:rPr>
      </w:pPr>
      <w:r>
        <w:rPr>
          <w:u w:val="single"/>
        </w:rPr>
        <w:t>Percentage NA (Oral Communication, Tier 1)</w:t>
      </w:r>
    </w:p>
    <w:tbl>
      <w:tblPr>
        <w:tblW w:w="1875" w:type="pct"/>
        <w:tblLayout w:type="fixed"/>
        <w:tblLook w:val="04A0" w:firstRow="1" w:lastRow="0" w:firstColumn="1" w:lastColumn="0" w:noHBand="0" w:noVBand="1"/>
      </w:tblPr>
      <w:tblGrid>
        <w:gridCol w:w="1935"/>
        <w:gridCol w:w="1494"/>
      </w:tblGrid>
      <w:tr w:rsidR="00BA79D3" w:rsidRPr="0023679A" w:rsidTr="00F10556">
        <w:trPr>
          <w:trHeight w:val="300"/>
        </w:trPr>
        <w:tc>
          <w:tcPr>
            <w:tcW w:w="2821"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2179"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253 Assessments</w:t>
            </w:r>
          </w:p>
        </w:tc>
      </w:tr>
      <w:tr w:rsidR="00BA79D3" w:rsidRPr="006B5150" w:rsidTr="00F10556">
        <w:trPr>
          <w:trHeight w:val="300"/>
        </w:trPr>
        <w:tc>
          <w:tcPr>
            <w:tcW w:w="2821" w:type="pct"/>
            <w:tcBorders>
              <w:top w:val="dotted" w:sz="4" w:space="0" w:color="auto"/>
              <w:left w:val="nil"/>
              <w:bottom w:val="dotted" w:sz="4" w:space="0" w:color="auto"/>
              <w:right w:val="nil"/>
            </w:tcBorders>
            <w:shd w:val="clear" w:color="auto" w:fill="auto"/>
            <w:noWrap/>
            <w:vAlign w:val="bottom"/>
            <w:hideMark/>
          </w:tcPr>
          <w:p w:rsidR="00BA79D3" w:rsidRPr="00660B0D" w:rsidRDefault="00BA79D3" w:rsidP="00F10556">
            <w:pPr>
              <w:rPr>
                <w:rFonts w:ascii="Calibri" w:eastAsia="Times New Roman" w:hAnsi="Calibri" w:cs="Times New Roman"/>
                <w:color w:val="000000"/>
                <w:sz w:val="20"/>
                <w:szCs w:val="20"/>
              </w:rPr>
            </w:pPr>
            <w:r w:rsidRPr="00660B0D">
              <w:rPr>
                <w:rFonts w:ascii="Calibri" w:eastAsia="Times New Roman" w:hAnsi="Calibri" w:cs="Times New Roman"/>
                <w:color w:val="000000"/>
                <w:sz w:val="20"/>
                <w:szCs w:val="20"/>
              </w:rPr>
              <w:t>Organization</w:t>
            </w:r>
          </w:p>
        </w:tc>
        <w:tc>
          <w:tcPr>
            <w:tcW w:w="2179"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15%</w:t>
            </w:r>
          </w:p>
        </w:tc>
      </w:tr>
      <w:tr w:rsidR="00BA79D3" w:rsidRPr="006B5150" w:rsidTr="00F10556">
        <w:trPr>
          <w:trHeight w:val="300"/>
        </w:trPr>
        <w:tc>
          <w:tcPr>
            <w:tcW w:w="2821" w:type="pct"/>
            <w:tcBorders>
              <w:top w:val="dotted" w:sz="4" w:space="0" w:color="auto"/>
              <w:left w:val="nil"/>
              <w:bottom w:val="dotted" w:sz="4" w:space="0" w:color="auto"/>
              <w:right w:val="nil"/>
            </w:tcBorders>
            <w:shd w:val="clear" w:color="auto" w:fill="auto"/>
            <w:noWrap/>
            <w:vAlign w:val="bottom"/>
            <w:hideMark/>
          </w:tcPr>
          <w:p w:rsidR="00BA79D3" w:rsidRPr="00660B0D" w:rsidRDefault="00BA79D3" w:rsidP="00F10556">
            <w:pPr>
              <w:rPr>
                <w:rFonts w:ascii="Calibri" w:eastAsia="Times New Roman" w:hAnsi="Calibri" w:cs="Times New Roman"/>
                <w:color w:val="000000"/>
                <w:sz w:val="20"/>
                <w:szCs w:val="20"/>
              </w:rPr>
            </w:pPr>
            <w:r w:rsidRPr="00660B0D">
              <w:rPr>
                <w:rFonts w:ascii="Calibri" w:eastAsia="Times New Roman" w:hAnsi="Calibri" w:cs="Times New Roman"/>
                <w:color w:val="000000"/>
                <w:sz w:val="20"/>
                <w:szCs w:val="20"/>
              </w:rPr>
              <w:t>Language</w:t>
            </w:r>
          </w:p>
        </w:tc>
        <w:tc>
          <w:tcPr>
            <w:tcW w:w="2179"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14%</w:t>
            </w:r>
          </w:p>
        </w:tc>
      </w:tr>
      <w:tr w:rsidR="00BA79D3" w:rsidRPr="006B5150" w:rsidTr="00F10556">
        <w:trPr>
          <w:trHeight w:val="300"/>
        </w:trPr>
        <w:tc>
          <w:tcPr>
            <w:tcW w:w="2821" w:type="pct"/>
            <w:tcBorders>
              <w:top w:val="dotted" w:sz="4" w:space="0" w:color="auto"/>
              <w:left w:val="nil"/>
              <w:bottom w:val="dotted" w:sz="4" w:space="0" w:color="auto"/>
              <w:right w:val="nil"/>
            </w:tcBorders>
            <w:shd w:val="clear" w:color="auto" w:fill="auto"/>
            <w:noWrap/>
            <w:vAlign w:val="bottom"/>
            <w:hideMark/>
          </w:tcPr>
          <w:p w:rsidR="00BA79D3" w:rsidRPr="00660B0D" w:rsidRDefault="00BA79D3" w:rsidP="00F10556">
            <w:pPr>
              <w:rPr>
                <w:rFonts w:ascii="Calibri" w:eastAsia="Times New Roman" w:hAnsi="Calibri" w:cs="Times New Roman"/>
                <w:color w:val="000000"/>
                <w:sz w:val="20"/>
                <w:szCs w:val="20"/>
              </w:rPr>
            </w:pPr>
            <w:r w:rsidRPr="00660B0D">
              <w:rPr>
                <w:rFonts w:ascii="Calibri" w:eastAsia="Times New Roman" w:hAnsi="Calibri" w:cs="Times New Roman"/>
                <w:color w:val="000000"/>
                <w:sz w:val="20"/>
                <w:szCs w:val="20"/>
              </w:rPr>
              <w:t>Delivery</w:t>
            </w:r>
          </w:p>
        </w:tc>
        <w:tc>
          <w:tcPr>
            <w:tcW w:w="2179"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16%</w:t>
            </w:r>
          </w:p>
        </w:tc>
      </w:tr>
      <w:tr w:rsidR="00BA79D3" w:rsidRPr="006B5150" w:rsidTr="00F10556">
        <w:trPr>
          <w:trHeight w:val="300"/>
        </w:trPr>
        <w:tc>
          <w:tcPr>
            <w:tcW w:w="2821" w:type="pct"/>
            <w:tcBorders>
              <w:top w:val="dotted" w:sz="4" w:space="0" w:color="auto"/>
              <w:left w:val="nil"/>
              <w:bottom w:val="dotted" w:sz="4" w:space="0" w:color="auto"/>
              <w:right w:val="nil"/>
            </w:tcBorders>
            <w:shd w:val="clear" w:color="auto" w:fill="auto"/>
            <w:noWrap/>
            <w:vAlign w:val="bottom"/>
            <w:hideMark/>
          </w:tcPr>
          <w:p w:rsidR="00BA79D3" w:rsidRPr="00660B0D" w:rsidRDefault="00BA79D3" w:rsidP="00F10556">
            <w:pPr>
              <w:rPr>
                <w:rFonts w:ascii="Calibri" w:eastAsia="Times New Roman" w:hAnsi="Calibri" w:cs="Times New Roman"/>
                <w:color w:val="000000"/>
                <w:sz w:val="20"/>
                <w:szCs w:val="20"/>
              </w:rPr>
            </w:pPr>
            <w:r w:rsidRPr="00660B0D">
              <w:rPr>
                <w:rFonts w:ascii="Calibri" w:eastAsia="Times New Roman" w:hAnsi="Calibri" w:cs="Times New Roman"/>
                <w:color w:val="000000"/>
                <w:sz w:val="20"/>
                <w:szCs w:val="20"/>
              </w:rPr>
              <w:t>Supporting material</w:t>
            </w:r>
          </w:p>
        </w:tc>
        <w:tc>
          <w:tcPr>
            <w:tcW w:w="2179"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21%</w:t>
            </w:r>
          </w:p>
        </w:tc>
      </w:tr>
      <w:tr w:rsidR="00BA79D3" w:rsidRPr="006B5150" w:rsidTr="00F10556">
        <w:trPr>
          <w:trHeight w:val="300"/>
        </w:trPr>
        <w:tc>
          <w:tcPr>
            <w:tcW w:w="2821" w:type="pct"/>
            <w:tcBorders>
              <w:top w:val="dotted" w:sz="4" w:space="0" w:color="auto"/>
              <w:left w:val="nil"/>
              <w:bottom w:val="single" w:sz="4" w:space="0" w:color="auto"/>
              <w:right w:val="nil"/>
            </w:tcBorders>
            <w:shd w:val="clear" w:color="auto" w:fill="auto"/>
            <w:noWrap/>
            <w:vAlign w:val="bottom"/>
            <w:hideMark/>
          </w:tcPr>
          <w:p w:rsidR="00BA79D3" w:rsidRPr="00660B0D" w:rsidRDefault="00BA79D3" w:rsidP="00F10556">
            <w:pPr>
              <w:rPr>
                <w:rFonts w:ascii="Calibri" w:eastAsia="Times New Roman" w:hAnsi="Calibri" w:cs="Times New Roman"/>
                <w:color w:val="000000"/>
                <w:sz w:val="20"/>
                <w:szCs w:val="20"/>
              </w:rPr>
            </w:pPr>
            <w:r w:rsidRPr="00660B0D">
              <w:rPr>
                <w:rFonts w:ascii="Calibri" w:eastAsia="Times New Roman" w:hAnsi="Calibri" w:cs="Times New Roman"/>
                <w:color w:val="000000"/>
                <w:sz w:val="20"/>
                <w:szCs w:val="20"/>
              </w:rPr>
              <w:t>Central message</w:t>
            </w:r>
          </w:p>
        </w:tc>
        <w:tc>
          <w:tcPr>
            <w:tcW w:w="2179"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16%</w:t>
            </w:r>
          </w:p>
        </w:tc>
      </w:tr>
    </w:tbl>
    <w:p w:rsidR="009D123C" w:rsidRDefault="009D123C" w:rsidP="009D123C">
      <w:pPr>
        <w:jc w:val="center"/>
        <w:rPr>
          <w:b/>
        </w:rPr>
      </w:pPr>
    </w:p>
    <w:p w:rsidR="009D123C" w:rsidRDefault="009D123C" w:rsidP="009D123C">
      <w:pPr>
        <w:jc w:val="center"/>
        <w:rPr>
          <w:b/>
        </w:rPr>
      </w:pPr>
    </w:p>
    <w:p w:rsidR="00BA79D3" w:rsidRPr="009A30AF" w:rsidRDefault="00BA79D3" w:rsidP="009D123C">
      <w:pPr>
        <w:jc w:val="center"/>
        <w:rPr>
          <w:b/>
        </w:rPr>
      </w:pPr>
      <w:r w:rsidRPr="004A7AE1">
        <w:rPr>
          <w:b/>
        </w:rPr>
        <w:t>Written Communication Results</w:t>
      </w:r>
    </w:p>
    <w:p w:rsidR="00BA79D3" w:rsidRPr="004A7AE1" w:rsidRDefault="00BA79D3" w:rsidP="00BA79D3">
      <w:pPr>
        <w:rPr>
          <w:u w:val="single"/>
        </w:rPr>
      </w:pPr>
      <w:r>
        <w:rPr>
          <w:u w:val="single"/>
        </w:rPr>
        <w:t>Of Note</w:t>
      </w:r>
    </w:p>
    <w:p w:rsidR="00BA79D3" w:rsidRPr="004A7AE1" w:rsidRDefault="00BA79D3" w:rsidP="00BA79D3">
      <w:pPr>
        <w:pStyle w:val="ListParagraph"/>
        <w:widowControl/>
        <w:numPr>
          <w:ilvl w:val="0"/>
          <w:numId w:val="5"/>
        </w:numPr>
        <w:contextualSpacing/>
        <w:rPr>
          <w:rFonts w:ascii="Garamond" w:hAnsi="Garamond"/>
          <w:i/>
        </w:rPr>
      </w:pPr>
      <w:r w:rsidRPr="004A7AE1">
        <w:rPr>
          <w:rFonts w:ascii="Garamond" w:hAnsi="Garamond"/>
        </w:rPr>
        <w:t xml:space="preserve">Students in both Tier 1 and Tier 2 have highest scores in </w:t>
      </w:r>
      <w:r w:rsidRPr="004A7AE1">
        <w:rPr>
          <w:rFonts w:ascii="Garamond" w:hAnsi="Garamond"/>
          <w:i/>
        </w:rPr>
        <w:t>Mechanics</w:t>
      </w:r>
      <w:r w:rsidRPr="004A7AE1">
        <w:rPr>
          <w:rFonts w:ascii="Garamond" w:hAnsi="Garamond"/>
        </w:rPr>
        <w:t>, with 64% in Tier 1 and 32% in Tier 2 at or above the appropriate tier.</w:t>
      </w:r>
    </w:p>
    <w:p w:rsidR="00BA79D3" w:rsidRPr="004A7AE1" w:rsidRDefault="00BA79D3" w:rsidP="00BA79D3">
      <w:pPr>
        <w:pStyle w:val="ListParagraph"/>
        <w:widowControl/>
        <w:numPr>
          <w:ilvl w:val="0"/>
          <w:numId w:val="5"/>
        </w:numPr>
        <w:contextualSpacing/>
        <w:rPr>
          <w:rFonts w:ascii="Garamond" w:hAnsi="Garamond"/>
          <w:i/>
        </w:rPr>
      </w:pPr>
      <w:r w:rsidRPr="004A7AE1">
        <w:rPr>
          <w:rFonts w:ascii="Garamond" w:hAnsi="Garamond"/>
        </w:rPr>
        <w:t xml:space="preserve">The sample size for Tier 2 is small. </w:t>
      </w:r>
    </w:p>
    <w:p w:rsidR="00BA79D3" w:rsidRPr="004A7AE1" w:rsidRDefault="00BA79D3" w:rsidP="00BA79D3">
      <w:pPr>
        <w:pStyle w:val="ListParagraph"/>
        <w:widowControl/>
        <w:numPr>
          <w:ilvl w:val="0"/>
          <w:numId w:val="5"/>
        </w:numPr>
        <w:contextualSpacing/>
        <w:rPr>
          <w:rFonts w:ascii="Garamond" w:hAnsi="Garamond"/>
          <w:i/>
        </w:rPr>
      </w:pPr>
      <w:r w:rsidRPr="004A7AE1">
        <w:rPr>
          <w:rFonts w:ascii="Garamond" w:hAnsi="Garamond"/>
        </w:rPr>
        <w:t xml:space="preserve">The </w:t>
      </w:r>
      <w:r w:rsidRPr="004A7AE1">
        <w:rPr>
          <w:rFonts w:ascii="Garamond" w:hAnsi="Garamond"/>
          <w:i/>
        </w:rPr>
        <w:t>Sources</w:t>
      </w:r>
      <w:r w:rsidRPr="004A7AE1">
        <w:rPr>
          <w:rFonts w:ascii="Garamond" w:hAnsi="Garamond"/>
        </w:rPr>
        <w:t xml:space="preserve"> dimension may require further examination – 12% of artifacts in Tier 1 and 20% in Tier 2 were below benchmark.  In addition, </w:t>
      </w:r>
      <w:r w:rsidRPr="0025002A">
        <w:rPr>
          <w:rFonts w:ascii="Garamond" w:hAnsi="Garamond"/>
        </w:rPr>
        <w:t>there were relatively few NAs, compared to the two other learning goals,</w:t>
      </w:r>
      <w:r w:rsidRPr="0025002A">
        <w:rPr>
          <w:rFonts w:ascii="Garamond" w:hAnsi="Garamond"/>
          <w:spacing w:val="-34"/>
        </w:rPr>
        <w:t xml:space="preserve"> </w:t>
      </w:r>
      <w:r w:rsidRPr="0025002A">
        <w:rPr>
          <w:rFonts w:ascii="Garamond" w:hAnsi="Garamond"/>
        </w:rPr>
        <w:t xml:space="preserve">except for </w:t>
      </w:r>
      <w:r w:rsidRPr="004A7AE1">
        <w:rPr>
          <w:rFonts w:ascii="Garamond" w:hAnsi="Garamond"/>
          <w:i/>
        </w:rPr>
        <w:t xml:space="preserve">Sources </w:t>
      </w:r>
      <w:r w:rsidRPr="0025002A">
        <w:rPr>
          <w:rFonts w:ascii="Garamond" w:hAnsi="Garamond"/>
        </w:rPr>
        <w:t>where 20% of jurors indicated NA.</w:t>
      </w:r>
    </w:p>
    <w:p w:rsidR="00BA79D3" w:rsidRPr="003722BF" w:rsidRDefault="00BA79D3" w:rsidP="00BA79D3">
      <w:pPr>
        <w:pStyle w:val="ListParagraph"/>
        <w:widowControl/>
        <w:numPr>
          <w:ilvl w:val="0"/>
          <w:numId w:val="5"/>
        </w:numPr>
        <w:contextualSpacing/>
        <w:rPr>
          <w:rFonts w:ascii="Garamond" w:hAnsi="Garamond"/>
        </w:rPr>
      </w:pPr>
      <w:r w:rsidRPr="004A7AE1">
        <w:rPr>
          <w:rFonts w:ascii="Garamond" w:hAnsi="Garamond"/>
        </w:rPr>
        <w:t xml:space="preserve">As with the other two learning goals, juror agreement was low, ranging from 30% for </w:t>
      </w:r>
      <w:r w:rsidRPr="004A7AE1">
        <w:rPr>
          <w:rFonts w:ascii="Garamond" w:hAnsi="Garamond"/>
          <w:i/>
        </w:rPr>
        <w:t>Context</w:t>
      </w:r>
      <w:r w:rsidRPr="004A7AE1">
        <w:rPr>
          <w:rFonts w:ascii="Garamond" w:hAnsi="Garamond"/>
        </w:rPr>
        <w:t xml:space="preserve"> to 43% for </w:t>
      </w:r>
      <w:r w:rsidRPr="004A7AE1">
        <w:rPr>
          <w:rFonts w:ascii="Garamond" w:hAnsi="Garamond"/>
          <w:i/>
        </w:rPr>
        <w:t>Mechanics.</w:t>
      </w:r>
      <w:r w:rsidRPr="004A7AE1">
        <w:rPr>
          <w:rFonts w:ascii="Garamond" w:hAnsi="Garamond"/>
        </w:rPr>
        <w:t xml:space="preserve"> </w:t>
      </w:r>
    </w:p>
    <w:p w:rsidR="00BA79D3" w:rsidRPr="00D90E9F" w:rsidRDefault="00BA79D3" w:rsidP="00BA79D3">
      <w:pPr>
        <w:rPr>
          <w:sz w:val="26"/>
          <w:szCs w:val="26"/>
        </w:rPr>
      </w:pPr>
    </w:p>
    <w:p w:rsidR="00BA79D3" w:rsidRPr="009F1051" w:rsidRDefault="00BA79D3" w:rsidP="00BA79D3">
      <w:pPr>
        <w:rPr>
          <w:u w:val="single"/>
        </w:rPr>
      </w:pPr>
      <w:r w:rsidRPr="009F1051">
        <w:rPr>
          <w:u w:val="single"/>
        </w:rPr>
        <w:t>Written Communication Artifact Ratings, Tier 1</w:t>
      </w:r>
    </w:p>
    <w:tbl>
      <w:tblPr>
        <w:tblW w:w="4952" w:type="pct"/>
        <w:tblLayout w:type="fixed"/>
        <w:tblLook w:val="04A0" w:firstRow="1" w:lastRow="0" w:firstColumn="1" w:lastColumn="0" w:noHBand="0" w:noVBand="1"/>
      </w:tblPr>
      <w:tblGrid>
        <w:gridCol w:w="2285"/>
        <w:gridCol w:w="1145"/>
        <w:gridCol w:w="1056"/>
        <w:gridCol w:w="967"/>
        <w:gridCol w:w="1319"/>
        <w:gridCol w:w="1143"/>
        <w:gridCol w:w="1141"/>
      </w:tblGrid>
      <w:tr w:rsidR="00BA79D3" w:rsidRPr="0023679A" w:rsidTr="00F10556">
        <w:trPr>
          <w:trHeight w:val="300"/>
        </w:trPr>
        <w:tc>
          <w:tcPr>
            <w:tcW w:w="1262"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632"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3</w:t>
            </w:r>
          </w:p>
        </w:tc>
        <w:tc>
          <w:tcPr>
            <w:tcW w:w="583"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Tier 2 to &lt; Tier 3</w:t>
            </w:r>
          </w:p>
        </w:tc>
        <w:tc>
          <w:tcPr>
            <w:tcW w:w="534"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1</w:t>
            </w:r>
            <w:r>
              <w:rPr>
                <w:rFonts w:ascii="Calibri" w:eastAsia="Times New Roman" w:hAnsi="Calibri" w:cs="Times New Roman"/>
                <w:color w:val="FFFFFF" w:themeColor="background1"/>
                <w:sz w:val="20"/>
                <w:szCs w:val="20"/>
              </w:rPr>
              <w:t xml:space="preserve"> to &lt; Tier 2</w:t>
            </w:r>
          </w:p>
        </w:tc>
        <w:tc>
          <w:tcPr>
            <w:tcW w:w="728"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Benchmark</w:t>
            </w:r>
            <w:r>
              <w:rPr>
                <w:rFonts w:ascii="Calibri" w:eastAsia="Times New Roman" w:hAnsi="Calibri" w:cs="Times New Roman"/>
                <w:color w:val="FFFFFF" w:themeColor="background1"/>
                <w:sz w:val="20"/>
                <w:szCs w:val="20"/>
              </w:rPr>
              <w:t xml:space="preserve"> to &lt; Tier 1</w:t>
            </w:r>
          </w:p>
        </w:tc>
        <w:tc>
          <w:tcPr>
            <w:tcW w:w="63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&lt; Benchmark</w:t>
            </w:r>
          </w:p>
        </w:tc>
        <w:tc>
          <w:tcPr>
            <w:tcW w:w="630" w:type="pct"/>
            <w:tcBorders>
              <w:top w:val="nil"/>
              <w:left w:val="nil"/>
              <w:bottom w:val="dotted" w:sz="4" w:space="0" w:color="auto"/>
              <w:right w:val="nil"/>
            </w:tcBorders>
            <w:shd w:val="clear" w:color="auto" w:fill="000000" w:themeFill="text1"/>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Students</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Context/purpose</w:t>
            </w:r>
          </w:p>
        </w:tc>
        <w:tc>
          <w:tcPr>
            <w:tcW w:w="632"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15%</w:t>
            </w:r>
          </w:p>
        </w:tc>
        <w:tc>
          <w:tcPr>
            <w:tcW w:w="534"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47%</w:t>
            </w:r>
          </w:p>
        </w:tc>
        <w:tc>
          <w:tcPr>
            <w:tcW w:w="728"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32%</w:t>
            </w:r>
          </w:p>
        </w:tc>
        <w:tc>
          <w:tcPr>
            <w:tcW w:w="631"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5%</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169</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Content development</w:t>
            </w:r>
          </w:p>
        </w:tc>
        <w:tc>
          <w:tcPr>
            <w:tcW w:w="632"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11%</w:t>
            </w:r>
          </w:p>
        </w:tc>
        <w:tc>
          <w:tcPr>
            <w:tcW w:w="534"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47%</w:t>
            </w:r>
          </w:p>
        </w:tc>
        <w:tc>
          <w:tcPr>
            <w:tcW w:w="728"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39%</w:t>
            </w:r>
          </w:p>
        </w:tc>
        <w:tc>
          <w:tcPr>
            <w:tcW w:w="631"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171</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Conventions</w:t>
            </w:r>
          </w:p>
        </w:tc>
        <w:tc>
          <w:tcPr>
            <w:tcW w:w="632"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7%</w:t>
            </w:r>
          </w:p>
        </w:tc>
        <w:tc>
          <w:tcPr>
            <w:tcW w:w="534"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45%</w:t>
            </w:r>
          </w:p>
        </w:tc>
        <w:tc>
          <w:tcPr>
            <w:tcW w:w="728"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40%</w:t>
            </w:r>
          </w:p>
        </w:tc>
        <w:tc>
          <w:tcPr>
            <w:tcW w:w="631"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7%</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168</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Sources</w:t>
            </w:r>
          </w:p>
        </w:tc>
        <w:tc>
          <w:tcPr>
            <w:tcW w:w="632"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6%</w:t>
            </w:r>
          </w:p>
        </w:tc>
        <w:tc>
          <w:tcPr>
            <w:tcW w:w="534"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48%</w:t>
            </w:r>
          </w:p>
        </w:tc>
        <w:tc>
          <w:tcPr>
            <w:tcW w:w="728"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34%</w:t>
            </w:r>
          </w:p>
        </w:tc>
        <w:tc>
          <w:tcPr>
            <w:tcW w:w="631" w:type="pct"/>
            <w:tcBorders>
              <w:top w:val="dotted" w:sz="4" w:space="0" w:color="auto"/>
              <w:left w:val="nil"/>
              <w:bottom w:val="dotted"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12%</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161</w:t>
            </w:r>
          </w:p>
        </w:tc>
      </w:tr>
      <w:tr w:rsidR="00BA79D3" w:rsidRPr="006B5150" w:rsidTr="00F10556">
        <w:trPr>
          <w:trHeight w:val="300"/>
        </w:trPr>
        <w:tc>
          <w:tcPr>
            <w:tcW w:w="1262" w:type="pct"/>
            <w:tcBorders>
              <w:top w:val="dotted" w:sz="4" w:space="0" w:color="auto"/>
              <w:left w:val="nil"/>
              <w:bottom w:val="single"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Mechanics</w:t>
            </w:r>
          </w:p>
        </w:tc>
        <w:tc>
          <w:tcPr>
            <w:tcW w:w="632" w:type="pct"/>
            <w:tcBorders>
              <w:top w:val="dotted" w:sz="4" w:space="0" w:color="auto"/>
              <w:left w:val="nil"/>
              <w:bottom w:val="single"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1%</w:t>
            </w:r>
          </w:p>
        </w:tc>
        <w:tc>
          <w:tcPr>
            <w:tcW w:w="583" w:type="pct"/>
            <w:tcBorders>
              <w:top w:val="dotted" w:sz="4" w:space="0" w:color="auto"/>
              <w:left w:val="nil"/>
              <w:bottom w:val="single"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7%</w:t>
            </w:r>
          </w:p>
        </w:tc>
        <w:tc>
          <w:tcPr>
            <w:tcW w:w="534" w:type="pct"/>
            <w:tcBorders>
              <w:top w:val="dotted" w:sz="4" w:space="0" w:color="auto"/>
              <w:left w:val="nil"/>
              <w:bottom w:val="single"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56%</w:t>
            </w:r>
          </w:p>
        </w:tc>
        <w:tc>
          <w:tcPr>
            <w:tcW w:w="728" w:type="pct"/>
            <w:tcBorders>
              <w:top w:val="dotted" w:sz="4" w:space="0" w:color="auto"/>
              <w:left w:val="nil"/>
              <w:bottom w:val="single"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33%</w:t>
            </w:r>
          </w:p>
        </w:tc>
        <w:tc>
          <w:tcPr>
            <w:tcW w:w="631" w:type="pct"/>
            <w:tcBorders>
              <w:top w:val="dotted" w:sz="4" w:space="0" w:color="auto"/>
              <w:left w:val="nil"/>
              <w:bottom w:val="single" w:sz="4" w:space="0" w:color="auto"/>
              <w:right w:val="nil"/>
            </w:tcBorders>
            <w:shd w:val="clear" w:color="auto" w:fill="auto"/>
            <w:noWrap/>
            <w:vAlign w:val="bottom"/>
          </w:tcPr>
          <w:p w:rsidR="00BA79D3" w:rsidRPr="001A29F2" w:rsidRDefault="00BA79D3" w:rsidP="00F10556">
            <w:pPr>
              <w:jc w:val="center"/>
              <w:rPr>
                <w:rFonts w:ascii="Calibri" w:eastAsia="Times New Roman" w:hAnsi="Calibri" w:cs="Times New Roman"/>
                <w:color w:val="000000"/>
              </w:rPr>
            </w:pPr>
            <w:r w:rsidRPr="001A29F2">
              <w:rPr>
                <w:rFonts w:ascii="Calibri" w:eastAsia="Times New Roman" w:hAnsi="Calibri" w:cs="Times New Roman"/>
                <w:color w:val="000000"/>
              </w:rPr>
              <w:t>4%</w:t>
            </w:r>
          </w:p>
        </w:tc>
        <w:tc>
          <w:tcPr>
            <w:tcW w:w="630"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171</w:t>
            </w:r>
          </w:p>
        </w:tc>
      </w:tr>
    </w:tbl>
    <w:p w:rsidR="00BA79D3" w:rsidRPr="003722BF" w:rsidRDefault="00BA79D3" w:rsidP="00BA79D3">
      <w:pPr>
        <w:rPr>
          <w:sz w:val="16"/>
          <w:szCs w:val="16"/>
        </w:rPr>
      </w:pPr>
      <w:r w:rsidRPr="00E4772D">
        <w:rPr>
          <w:sz w:val="16"/>
          <w:szCs w:val="16"/>
        </w:rPr>
        <w:t>Scores are averaged across jurors</w:t>
      </w:r>
    </w:p>
    <w:p w:rsidR="00BA79D3" w:rsidRDefault="00BA79D3" w:rsidP="00BA79D3"/>
    <w:tbl>
      <w:tblPr>
        <w:tblW w:w="2837" w:type="pct"/>
        <w:tblLayout w:type="fixed"/>
        <w:tblLook w:val="04A0" w:firstRow="1" w:lastRow="0" w:firstColumn="1" w:lastColumn="0" w:noHBand="0" w:noVBand="1"/>
      </w:tblPr>
      <w:tblGrid>
        <w:gridCol w:w="2374"/>
        <w:gridCol w:w="1495"/>
        <w:gridCol w:w="1319"/>
      </w:tblGrid>
      <w:tr w:rsidR="00BA79D3" w:rsidRPr="0023679A" w:rsidTr="00F10556">
        <w:trPr>
          <w:trHeight w:val="300"/>
        </w:trPr>
        <w:tc>
          <w:tcPr>
            <w:tcW w:w="2288"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144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 xml:space="preserve">Tier 1 or Above </w:t>
            </w:r>
          </w:p>
        </w:tc>
        <w:tc>
          <w:tcPr>
            <w:tcW w:w="127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Below Tier 1</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Context/purpose</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63%</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37%</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Content development</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58%</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42%</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Conventions</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52%</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48%</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Sources</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54%</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46%</w:t>
            </w:r>
          </w:p>
        </w:tc>
      </w:tr>
      <w:tr w:rsidR="00BA79D3" w:rsidRPr="001A29F2" w:rsidTr="00F10556">
        <w:trPr>
          <w:trHeight w:val="300"/>
        </w:trPr>
        <w:tc>
          <w:tcPr>
            <w:tcW w:w="2288" w:type="pct"/>
            <w:tcBorders>
              <w:top w:val="dotted" w:sz="4" w:space="0" w:color="auto"/>
              <w:left w:val="nil"/>
              <w:bottom w:val="single"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Mechanics</w:t>
            </w:r>
          </w:p>
        </w:tc>
        <w:tc>
          <w:tcPr>
            <w:tcW w:w="1441"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64%</w:t>
            </w:r>
          </w:p>
        </w:tc>
        <w:tc>
          <w:tcPr>
            <w:tcW w:w="1271"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36%</w:t>
            </w:r>
          </w:p>
        </w:tc>
      </w:tr>
    </w:tbl>
    <w:p w:rsidR="009A30AF" w:rsidRDefault="009A30AF" w:rsidP="00BA79D3">
      <w:pPr>
        <w:rPr>
          <w:u w:val="single"/>
        </w:rPr>
      </w:pPr>
    </w:p>
    <w:p w:rsidR="00CF7025" w:rsidRDefault="00CF7025" w:rsidP="00BA79D3">
      <w:pPr>
        <w:rPr>
          <w:u w:val="single"/>
        </w:rPr>
      </w:pPr>
    </w:p>
    <w:p w:rsidR="00BA79D3" w:rsidRPr="009F1051" w:rsidRDefault="00BA79D3" w:rsidP="00BA79D3">
      <w:pPr>
        <w:rPr>
          <w:u w:val="single"/>
        </w:rPr>
      </w:pPr>
      <w:r w:rsidRPr="009F1051">
        <w:rPr>
          <w:u w:val="single"/>
        </w:rPr>
        <w:t>Written Communication Artifact Ratings, Tier 2</w:t>
      </w:r>
    </w:p>
    <w:tbl>
      <w:tblPr>
        <w:tblW w:w="4952" w:type="pct"/>
        <w:tblLayout w:type="fixed"/>
        <w:tblLook w:val="04A0" w:firstRow="1" w:lastRow="0" w:firstColumn="1" w:lastColumn="0" w:noHBand="0" w:noVBand="1"/>
      </w:tblPr>
      <w:tblGrid>
        <w:gridCol w:w="2285"/>
        <w:gridCol w:w="1145"/>
        <w:gridCol w:w="1056"/>
        <w:gridCol w:w="967"/>
        <w:gridCol w:w="1319"/>
        <w:gridCol w:w="1143"/>
        <w:gridCol w:w="1141"/>
      </w:tblGrid>
      <w:tr w:rsidR="00BA79D3" w:rsidRPr="0023679A" w:rsidTr="00F10556">
        <w:trPr>
          <w:trHeight w:val="300"/>
        </w:trPr>
        <w:tc>
          <w:tcPr>
            <w:tcW w:w="1262"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632"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3</w:t>
            </w:r>
          </w:p>
        </w:tc>
        <w:tc>
          <w:tcPr>
            <w:tcW w:w="583"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Tier 2 to &lt; Tier 3</w:t>
            </w:r>
          </w:p>
        </w:tc>
        <w:tc>
          <w:tcPr>
            <w:tcW w:w="534"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Tier 1</w:t>
            </w:r>
            <w:r>
              <w:rPr>
                <w:rFonts w:ascii="Calibri" w:eastAsia="Times New Roman" w:hAnsi="Calibri" w:cs="Times New Roman"/>
                <w:color w:val="FFFFFF" w:themeColor="background1"/>
                <w:sz w:val="20"/>
                <w:szCs w:val="20"/>
              </w:rPr>
              <w:t xml:space="preserve"> to &lt; Tier 2</w:t>
            </w:r>
          </w:p>
        </w:tc>
        <w:tc>
          <w:tcPr>
            <w:tcW w:w="728"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sidRPr="0023679A">
              <w:rPr>
                <w:rFonts w:ascii="Calibri" w:eastAsia="Times New Roman" w:hAnsi="Calibri" w:cs="Times New Roman"/>
                <w:color w:val="FFFFFF" w:themeColor="background1"/>
                <w:sz w:val="20"/>
                <w:szCs w:val="20"/>
              </w:rPr>
              <w:t>Benchmark</w:t>
            </w:r>
            <w:r>
              <w:rPr>
                <w:rFonts w:ascii="Calibri" w:eastAsia="Times New Roman" w:hAnsi="Calibri" w:cs="Times New Roman"/>
                <w:color w:val="FFFFFF" w:themeColor="background1"/>
                <w:sz w:val="20"/>
                <w:szCs w:val="20"/>
              </w:rPr>
              <w:t xml:space="preserve"> to &lt; Tier 1</w:t>
            </w:r>
          </w:p>
        </w:tc>
        <w:tc>
          <w:tcPr>
            <w:tcW w:w="63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&lt; Benchmark</w:t>
            </w:r>
          </w:p>
        </w:tc>
        <w:tc>
          <w:tcPr>
            <w:tcW w:w="630" w:type="pct"/>
            <w:tcBorders>
              <w:top w:val="nil"/>
              <w:left w:val="nil"/>
              <w:bottom w:val="dotted" w:sz="4" w:space="0" w:color="auto"/>
              <w:right w:val="nil"/>
            </w:tcBorders>
            <w:shd w:val="clear" w:color="auto" w:fill="000000" w:themeFill="text1"/>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Students</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Context/purpose</w:t>
            </w:r>
          </w:p>
        </w:tc>
        <w:tc>
          <w:tcPr>
            <w:tcW w:w="632"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23%</w:t>
            </w:r>
          </w:p>
        </w:tc>
        <w:tc>
          <w:tcPr>
            <w:tcW w:w="534"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50%</w:t>
            </w:r>
          </w:p>
        </w:tc>
        <w:tc>
          <w:tcPr>
            <w:tcW w:w="728"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27%</w:t>
            </w:r>
          </w:p>
        </w:tc>
        <w:tc>
          <w:tcPr>
            <w:tcW w:w="631"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30</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Content development</w:t>
            </w:r>
          </w:p>
        </w:tc>
        <w:tc>
          <w:tcPr>
            <w:tcW w:w="632"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16%</w:t>
            </w:r>
          </w:p>
        </w:tc>
        <w:tc>
          <w:tcPr>
            <w:tcW w:w="534"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58%</w:t>
            </w:r>
          </w:p>
        </w:tc>
        <w:tc>
          <w:tcPr>
            <w:tcW w:w="728"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26%</w:t>
            </w:r>
          </w:p>
        </w:tc>
        <w:tc>
          <w:tcPr>
            <w:tcW w:w="631"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31</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Conventions</w:t>
            </w:r>
          </w:p>
        </w:tc>
        <w:tc>
          <w:tcPr>
            <w:tcW w:w="632"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16%</w:t>
            </w:r>
          </w:p>
        </w:tc>
        <w:tc>
          <w:tcPr>
            <w:tcW w:w="534"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45%</w:t>
            </w:r>
          </w:p>
        </w:tc>
        <w:tc>
          <w:tcPr>
            <w:tcW w:w="728"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39%</w:t>
            </w:r>
          </w:p>
        </w:tc>
        <w:tc>
          <w:tcPr>
            <w:tcW w:w="631"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31</w:t>
            </w:r>
          </w:p>
        </w:tc>
      </w:tr>
      <w:tr w:rsidR="00BA79D3" w:rsidRPr="006B5150" w:rsidTr="00F10556">
        <w:trPr>
          <w:trHeight w:val="300"/>
        </w:trPr>
        <w:tc>
          <w:tcPr>
            <w:tcW w:w="1262"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Sources</w:t>
            </w:r>
          </w:p>
        </w:tc>
        <w:tc>
          <w:tcPr>
            <w:tcW w:w="632"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583"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8%</w:t>
            </w:r>
          </w:p>
        </w:tc>
        <w:tc>
          <w:tcPr>
            <w:tcW w:w="534"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48%</w:t>
            </w:r>
          </w:p>
        </w:tc>
        <w:tc>
          <w:tcPr>
            <w:tcW w:w="728"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24%</w:t>
            </w:r>
          </w:p>
        </w:tc>
        <w:tc>
          <w:tcPr>
            <w:tcW w:w="631" w:type="pct"/>
            <w:tcBorders>
              <w:top w:val="dotted" w:sz="4" w:space="0" w:color="auto"/>
              <w:left w:val="nil"/>
              <w:bottom w:val="dotted"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20%</w:t>
            </w:r>
          </w:p>
        </w:tc>
        <w:tc>
          <w:tcPr>
            <w:tcW w:w="630" w:type="pct"/>
            <w:tcBorders>
              <w:top w:val="dotted" w:sz="4" w:space="0" w:color="auto"/>
              <w:left w:val="nil"/>
              <w:bottom w:val="dotted"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25</w:t>
            </w:r>
          </w:p>
        </w:tc>
      </w:tr>
      <w:tr w:rsidR="00BA79D3" w:rsidRPr="006B5150" w:rsidTr="00F10556">
        <w:trPr>
          <w:trHeight w:val="300"/>
        </w:trPr>
        <w:tc>
          <w:tcPr>
            <w:tcW w:w="1262" w:type="pct"/>
            <w:tcBorders>
              <w:top w:val="dotted" w:sz="4" w:space="0" w:color="auto"/>
              <w:left w:val="nil"/>
              <w:bottom w:val="single"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Mechanics</w:t>
            </w:r>
          </w:p>
        </w:tc>
        <w:tc>
          <w:tcPr>
            <w:tcW w:w="632" w:type="pct"/>
            <w:tcBorders>
              <w:top w:val="dotted" w:sz="4" w:space="0" w:color="auto"/>
              <w:left w:val="nil"/>
              <w:bottom w:val="single"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0%</w:t>
            </w:r>
          </w:p>
        </w:tc>
        <w:tc>
          <w:tcPr>
            <w:tcW w:w="583" w:type="pct"/>
            <w:tcBorders>
              <w:top w:val="dotted" w:sz="4" w:space="0" w:color="auto"/>
              <w:left w:val="nil"/>
              <w:bottom w:val="single"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32%</w:t>
            </w:r>
          </w:p>
        </w:tc>
        <w:tc>
          <w:tcPr>
            <w:tcW w:w="534" w:type="pct"/>
            <w:tcBorders>
              <w:top w:val="dotted" w:sz="4" w:space="0" w:color="auto"/>
              <w:left w:val="nil"/>
              <w:bottom w:val="single"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55%</w:t>
            </w:r>
          </w:p>
        </w:tc>
        <w:tc>
          <w:tcPr>
            <w:tcW w:w="728" w:type="pct"/>
            <w:tcBorders>
              <w:top w:val="dotted" w:sz="4" w:space="0" w:color="auto"/>
              <w:left w:val="nil"/>
              <w:bottom w:val="single"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10%</w:t>
            </w:r>
          </w:p>
        </w:tc>
        <w:tc>
          <w:tcPr>
            <w:tcW w:w="631" w:type="pct"/>
            <w:tcBorders>
              <w:top w:val="dotted" w:sz="4" w:space="0" w:color="auto"/>
              <w:left w:val="nil"/>
              <w:bottom w:val="single" w:sz="4" w:space="0" w:color="auto"/>
              <w:right w:val="nil"/>
            </w:tcBorders>
            <w:shd w:val="clear" w:color="auto" w:fill="auto"/>
            <w:noWrap/>
            <w:vAlign w:val="bottom"/>
          </w:tcPr>
          <w:p w:rsidR="00BA79D3" w:rsidRPr="005C594D" w:rsidRDefault="00BA79D3" w:rsidP="00F10556">
            <w:pPr>
              <w:jc w:val="center"/>
              <w:rPr>
                <w:rFonts w:ascii="Calibri" w:eastAsia="Times New Roman" w:hAnsi="Calibri" w:cs="Times New Roman"/>
                <w:color w:val="000000"/>
              </w:rPr>
            </w:pPr>
            <w:r w:rsidRPr="005C594D">
              <w:rPr>
                <w:rFonts w:ascii="Calibri" w:eastAsia="Times New Roman" w:hAnsi="Calibri" w:cs="Times New Roman"/>
                <w:color w:val="000000"/>
              </w:rPr>
              <w:t>3%</w:t>
            </w:r>
          </w:p>
        </w:tc>
        <w:tc>
          <w:tcPr>
            <w:tcW w:w="630" w:type="pct"/>
            <w:tcBorders>
              <w:top w:val="dotted" w:sz="4" w:space="0" w:color="auto"/>
              <w:left w:val="nil"/>
              <w:bottom w:val="single" w:sz="4" w:space="0" w:color="auto"/>
              <w:right w:val="nil"/>
            </w:tcBorders>
            <w:vAlign w:val="bottom"/>
          </w:tcPr>
          <w:p w:rsidR="00BA79D3" w:rsidRDefault="00BA79D3" w:rsidP="00F10556">
            <w:pPr>
              <w:jc w:val="center"/>
              <w:rPr>
                <w:rFonts w:ascii="Calibri" w:hAnsi="Calibri"/>
                <w:color w:val="000000"/>
              </w:rPr>
            </w:pPr>
            <w:r>
              <w:rPr>
                <w:rFonts w:ascii="Calibri" w:hAnsi="Calibri"/>
                <w:color w:val="000000"/>
              </w:rPr>
              <w:t>31</w:t>
            </w:r>
          </w:p>
        </w:tc>
      </w:tr>
    </w:tbl>
    <w:p w:rsidR="00BA79D3" w:rsidRPr="00EA5B87" w:rsidRDefault="00BA79D3" w:rsidP="00BA79D3">
      <w:pPr>
        <w:rPr>
          <w:sz w:val="16"/>
          <w:szCs w:val="16"/>
        </w:rPr>
      </w:pPr>
      <w:r w:rsidRPr="00E4772D">
        <w:rPr>
          <w:sz w:val="16"/>
          <w:szCs w:val="16"/>
        </w:rPr>
        <w:t>Scores are averaged across jurors</w:t>
      </w:r>
    </w:p>
    <w:p w:rsidR="00BA79D3" w:rsidRPr="00BC13CF" w:rsidRDefault="00BA79D3" w:rsidP="00BA79D3"/>
    <w:tbl>
      <w:tblPr>
        <w:tblW w:w="2837" w:type="pct"/>
        <w:tblLayout w:type="fixed"/>
        <w:tblLook w:val="04A0" w:firstRow="1" w:lastRow="0" w:firstColumn="1" w:lastColumn="0" w:noHBand="0" w:noVBand="1"/>
      </w:tblPr>
      <w:tblGrid>
        <w:gridCol w:w="2374"/>
        <w:gridCol w:w="1495"/>
        <w:gridCol w:w="1319"/>
      </w:tblGrid>
      <w:tr w:rsidR="00BA79D3" w:rsidRPr="0023679A" w:rsidTr="00F10556">
        <w:trPr>
          <w:trHeight w:val="300"/>
        </w:trPr>
        <w:tc>
          <w:tcPr>
            <w:tcW w:w="2288"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144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 xml:space="preserve">Tier 2 or Above </w:t>
            </w:r>
          </w:p>
        </w:tc>
        <w:tc>
          <w:tcPr>
            <w:tcW w:w="1271" w:type="pct"/>
            <w:tcBorders>
              <w:top w:val="nil"/>
              <w:left w:val="nil"/>
              <w:bottom w:val="dotted" w:sz="4" w:space="0" w:color="auto"/>
              <w:right w:val="nil"/>
            </w:tcBorders>
            <w:shd w:val="clear" w:color="auto" w:fill="000000" w:themeFill="text1"/>
            <w:noWrap/>
            <w:vAlign w:val="bottom"/>
            <w:hideMark/>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Below Tier 2</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Pr="006B5150" w:rsidRDefault="00BA79D3" w:rsidP="00F10556">
            <w:pPr>
              <w:rPr>
                <w:rFonts w:ascii="Calibri" w:eastAsia="Times New Roman" w:hAnsi="Calibri" w:cs="Times New Roman"/>
                <w:color w:val="000000"/>
              </w:rPr>
            </w:pPr>
            <w:r>
              <w:rPr>
                <w:rFonts w:ascii="Calibri" w:eastAsia="Times New Roman" w:hAnsi="Calibri" w:cs="Times New Roman"/>
                <w:color w:val="000000"/>
              </w:rPr>
              <w:t>Context/purpose</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23%</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77%</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Content development</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16%</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84%</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Conventions</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16%</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84%</w:t>
            </w:r>
          </w:p>
        </w:tc>
      </w:tr>
      <w:tr w:rsidR="00BA79D3" w:rsidRPr="001A29F2" w:rsidTr="00F10556">
        <w:trPr>
          <w:trHeight w:val="300"/>
        </w:trPr>
        <w:tc>
          <w:tcPr>
            <w:tcW w:w="2288" w:type="pct"/>
            <w:tcBorders>
              <w:top w:val="dotted" w:sz="4" w:space="0" w:color="auto"/>
              <w:left w:val="nil"/>
              <w:bottom w:val="dotted"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Sources</w:t>
            </w:r>
          </w:p>
        </w:tc>
        <w:tc>
          <w:tcPr>
            <w:tcW w:w="144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8%</w:t>
            </w:r>
          </w:p>
        </w:tc>
        <w:tc>
          <w:tcPr>
            <w:tcW w:w="1271"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92%</w:t>
            </w:r>
          </w:p>
        </w:tc>
      </w:tr>
      <w:tr w:rsidR="00BA79D3" w:rsidRPr="001A29F2" w:rsidTr="00F10556">
        <w:trPr>
          <w:trHeight w:val="300"/>
        </w:trPr>
        <w:tc>
          <w:tcPr>
            <w:tcW w:w="2288" w:type="pct"/>
            <w:tcBorders>
              <w:top w:val="dotted" w:sz="4" w:space="0" w:color="auto"/>
              <w:left w:val="nil"/>
              <w:bottom w:val="single" w:sz="4" w:space="0" w:color="auto"/>
              <w:right w:val="nil"/>
            </w:tcBorders>
            <w:shd w:val="clear" w:color="auto" w:fill="auto"/>
            <w:noWrap/>
            <w:vAlign w:val="bottom"/>
          </w:tcPr>
          <w:p w:rsidR="00BA79D3" w:rsidRDefault="00BA79D3" w:rsidP="00F10556">
            <w:pPr>
              <w:rPr>
                <w:rFonts w:ascii="Calibri" w:eastAsia="Times New Roman" w:hAnsi="Calibri" w:cs="Times New Roman"/>
                <w:color w:val="000000"/>
              </w:rPr>
            </w:pPr>
            <w:r>
              <w:rPr>
                <w:rFonts w:ascii="Calibri" w:eastAsia="Times New Roman" w:hAnsi="Calibri" w:cs="Times New Roman"/>
                <w:color w:val="000000"/>
              </w:rPr>
              <w:t>Mechanics</w:t>
            </w:r>
          </w:p>
        </w:tc>
        <w:tc>
          <w:tcPr>
            <w:tcW w:w="1441"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32%</w:t>
            </w:r>
          </w:p>
        </w:tc>
        <w:tc>
          <w:tcPr>
            <w:tcW w:w="1271"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68%</w:t>
            </w:r>
          </w:p>
        </w:tc>
      </w:tr>
    </w:tbl>
    <w:p w:rsidR="00BA79D3" w:rsidRDefault="00BA79D3" w:rsidP="00BA79D3">
      <w:pPr>
        <w:rPr>
          <w:u w:val="single"/>
        </w:rPr>
      </w:pPr>
    </w:p>
    <w:p w:rsidR="00BA79D3" w:rsidRPr="009F1051" w:rsidRDefault="00BA79D3" w:rsidP="00BA79D3">
      <w:pPr>
        <w:rPr>
          <w:u w:val="single"/>
        </w:rPr>
      </w:pPr>
      <w:r w:rsidRPr="009F1051">
        <w:rPr>
          <w:u w:val="single"/>
        </w:rPr>
        <w:t>Percentage NA (Written Communication, Tier 1 and 2)</w:t>
      </w:r>
    </w:p>
    <w:tbl>
      <w:tblPr>
        <w:tblW w:w="3111" w:type="pct"/>
        <w:tblLayout w:type="fixed"/>
        <w:tblLook w:val="04A0" w:firstRow="1" w:lastRow="0" w:firstColumn="1" w:lastColumn="0" w:noHBand="0" w:noVBand="1"/>
      </w:tblPr>
      <w:tblGrid>
        <w:gridCol w:w="4219"/>
        <w:gridCol w:w="1470"/>
      </w:tblGrid>
      <w:tr w:rsidR="00BA79D3" w:rsidRPr="0023679A" w:rsidTr="00F10556">
        <w:trPr>
          <w:trHeight w:val="300"/>
        </w:trPr>
        <w:tc>
          <w:tcPr>
            <w:tcW w:w="3708" w:type="pct"/>
            <w:tcBorders>
              <w:top w:val="nil"/>
              <w:left w:val="nil"/>
              <w:bottom w:val="dotted" w:sz="4" w:space="0" w:color="auto"/>
              <w:right w:val="nil"/>
            </w:tcBorders>
            <w:shd w:val="clear" w:color="auto" w:fill="000000" w:themeFill="text1"/>
            <w:vAlign w:val="bottom"/>
            <w:hideMark/>
          </w:tcPr>
          <w:p w:rsidR="00BA79D3" w:rsidRPr="0023679A" w:rsidRDefault="00BA79D3" w:rsidP="00F10556">
            <w:pPr>
              <w:rPr>
                <w:rFonts w:ascii="Times New Roman" w:eastAsia="Times New Roman" w:hAnsi="Times New Roman" w:cs="Times New Roman"/>
                <w:color w:val="FFFFFF" w:themeColor="background1"/>
                <w:sz w:val="20"/>
                <w:szCs w:val="20"/>
              </w:rPr>
            </w:pPr>
            <w:r w:rsidRPr="008C0110">
              <w:rPr>
                <w:rFonts w:ascii="Calibri" w:eastAsia="Times New Roman" w:hAnsi="Calibri" w:cs="Times New Roman"/>
                <w:color w:val="FFFFFF" w:themeColor="background1"/>
                <w:sz w:val="20"/>
                <w:szCs w:val="20"/>
              </w:rPr>
              <w:t>Dimension</w:t>
            </w:r>
          </w:p>
        </w:tc>
        <w:tc>
          <w:tcPr>
            <w:tcW w:w="1292" w:type="pct"/>
            <w:tcBorders>
              <w:top w:val="nil"/>
              <w:left w:val="nil"/>
              <w:bottom w:val="dotted" w:sz="4" w:space="0" w:color="auto"/>
              <w:right w:val="nil"/>
            </w:tcBorders>
            <w:shd w:val="clear" w:color="auto" w:fill="000000" w:themeFill="text1"/>
            <w:noWrap/>
            <w:vAlign w:val="bottom"/>
          </w:tcPr>
          <w:p w:rsidR="00BA79D3" w:rsidRPr="0023679A" w:rsidRDefault="00BA79D3" w:rsidP="00F10556">
            <w:pPr>
              <w:jc w:val="center"/>
              <w:rPr>
                <w:rFonts w:ascii="Calibri" w:eastAsia="Times New Roman" w:hAnsi="Calibri" w:cs="Times New Roman"/>
                <w:color w:val="FFFFFF" w:themeColor="background1"/>
                <w:sz w:val="20"/>
                <w:szCs w:val="20"/>
              </w:rPr>
            </w:pPr>
            <w:r>
              <w:rPr>
                <w:rFonts w:ascii="Calibri" w:eastAsia="Times New Roman" w:hAnsi="Calibri" w:cs="Times New Roman"/>
                <w:color w:val="FFFFFF" w:themeColor="background1"/>
                <w:sz w:val="20"/>
                <w:szCs w:val="20"/>
              </w:rPr>
              <w:t>383 Assessments</w:t>
            </w:r>
          </w:p>
        </w:tc>
      </w:tr>
      <w:tr w:rsidR="00BA79D3" w:rsidRPr="0023679A" w:rsidTr="00F10556">
        <w:trPr>
          <w:trHeight w:val="287"/>
        </w:trPr>
        <w:tc>
          <w:tcPr>
            <w:tcW w:w="3708" w:type="pct"/>
            <w:tcBorders>
              <w:top w:val="dotted" w:sz="4" w:space="0" w:color="auto"/>
              <w:left w:val="nil"/>
              <w:bottom w:val="dotted" w:sz="4" w:space="0" w:color="auto"/>
              <w:right w:val="nil"/>
            </w:tcBorders>
            <w:shd w:val="clear" w:color="auto" w:fill="auto"/>
            <w:vAlign w:val="center"/>
            <w:hideMark/>
          </w:tcPr>
          <w:p w:rsidR="00BA79D3" w:rsidRPr="003155B2" w:rsidRDefault="00BA79D3" w:rsidP="00F10556">
            <w:pPr>
              <w:rPr>
                <w:rFonts w:ascii="Calibri" w:eastAsia="Times New Roman" w:hAnsi="Calibri" w:cs="Times New Roman"/>
                <w:color w:val="000000"/>
                <w:sz w:val="20"/>
                <w:szCs w:val="20"/>
              </w:rPr>
            </w:pPr>
            <w:r w:rsidRPr="003155B2">
              <w:rPr>
                <w:rFonts w:ascii="Calibri" w:eastAsia="Times New Roman" w:hAnsi="Calibri" w:cs="Times New Roman"/>
                <w:color w:val="000000"/>
                <w:sz w:val="20"/>
                <w:szCs w:val="20"/>
              </w:rPr>
              <w:t>Context/purpose</w:t>
            </w:r>
          </w:p>
        </w:tc>
        <w:tc>
          <w:tcPr>
            <w:tcW w:w="1292"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10%</w:t>
            </w:r>
          </w:p>
        </w:tc>
      </w:tr>
      <w:tr w:rsidR="00BA79D3" w:rsidRPr="0023679A" w:rsidTr="00F10556">
        <w:tc>
          <w:tcPr>
            <w:tcW w:w="3708" w:type="pct"/>
            <w:tcBorders>
              <w:top w:val="dotted" w:sz="4" w:space="0" w:color="auto"/>
              <w:left w:val="nil"/>
              <w:bottom w:val="dotted" w:sz="4" w:space="0" w:color="auto"/>
              <w:right w:val="nil"/>
            </w:tcBorders>
            <w:shd w:val="clear" w:color="auto" w:fill="auto"/>
            <w:vAlign w:val="center"/>
            <w:hideMark/>
          </w:tcPr>
          <w:p w:rsidR="00BA79D3" w:rsidRPr="003155B2" w:rsidRDefault="00BA79D3" w:rsidP="00F10556">
            <w:pPr>
              <w:rPr>
                <w:rFonts w:ascii="Calibri" w:eastAsia="Times New Roman" w:hAnsi="Calibri" w:cs="Times New Roman"/>
                <w:color w:val="000000"/>
                <w:sz w:val="20"/>
                <w:szCs w:val="20"/>
              </w:rPr>
            </w:pPr>
            <w:r w:rsidRPr="003155B2">
              <w:rPr>
                <w:rFonts w:ascii="Calibri" w:eastAsia="Times New Roman" w:hAnsi="Calibri" w:cs="Times New Roman"/>
                <w:color w:val="000000"/>
                <w:sz w:val="20"/>
                <w:szCs w:val="20"/>
              </w:rPr>
              <w:t>Content development</w:t>
            </w:r>
          </w:p>
        </w:tc>
        <w:tc>
          <w:tcPr>
            <w:tcW w:w="1292"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w:t>
            </w:r>
          </w:p>
        </w:tc>
      </w:tr>
      <w:tr w:rsidR="00BA79D3" w:rsidRPr="0023679A" w:rsidTr="00F10556">
        <w:tc>
          <w:tcPr>
            <w:tcW w:w="3708" w:type="pct"/>
            <w:tcBorders>
              <w:top w:val="dotted" w:sz="4" w:space="0" w:color="auto"/>
              <w:left w:val="nil"/>
              <w:bottom w:val="dotted" w:sz="4" w:space="0" w:color="auto"/>
              <w:right w:val="nil"/>
            </w:tcBorders>
            <w:shd w:val="clear" w:color="auto" w:fill="auto"/>
            <w:vAlign w:val="center"/>
            <w:hideMark/>
          </w:tcPr>
          <w:p w:rsidR="00BA79D3" w:rsidRPr="003155B2" w:rsidRDefault="00BA79D3" w:rsidP="00F10556">
            <w:pPr>
              <w:rPr>
                <w:rFonts w:ascii="Calibri" w:eastAsia="Times New Roman" w:hAnsi="Calibri" w:cs="Times New Roman"/>
                <w:color w:val="000000"/>
                <w:sz w:val="20"/>
                <w:szCs w:val="20"/>
              </w:rPr>
            </w:pPr>
            <w:r w:rsidRPr="003155B2">
              <w:rPr>
                <w:rFonts w:ascii="Calibri" w:eastAsia="Times New Roman" w:hAnsi="Calibri" w:cs="Times New Roman"/>
                <w:color w:val="000000"/>
                <w:sz w:val="20"/>
                <w:szCs w:val="20"/>
              </w:rPr>
              <w:t>Conventions</w:t>
            </w:r>
          </w:p>
        </w:tc>
        <w:tc>
          <w:tcPr>
            <w:tcW w:w="1292"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7%</w:t>
            </w:r>
          </w:p>
        </w:tc>
      </w:tr>
      <w:tr w:rsidR="00BA79D3" w:rsidRPr="0023679A" w:rsidTr="00F10556">
        <w:tc>
          <w:tcPr>
            <w:tcW w:w="3708" w:type="pct"/>
            <w:tcBorders>
              <w:top w:val="dotted" w:sz="4" w:space="0" w:color="auto"/>
              <w:left w:val="nil"/>
              <w:bottom w:val="dotted" w:sz="4" w:space="0" w:color="auto"/>
              <w:right w:val="nil"/>
            </w:tcBorders>
            <w:shd w:val="clear" w:color="auto" w:fill="auto"/>
            <w:vAlign w:val="center"/>
            <w:hideMark/>
          </w:tcPr>
          <w:p w:rsidR="00BA79D3" w:rsidRPr="003155B2" w:rsidRDefault="00BA79D3" w:rsidP="00F10556">
            <w:pPr>
              <w:rPr>
                <w:rFonts w:ascii="Calibri" w:eastAsia="Times New Roman" w:hAnsi="Calibri" w:cs="Times New Roman"/>
                <w:color w:val="000000"/>
                <w:sz w:val="20"/>
                <w:szCs w:val="20"/>
              </w:rPr>
            </w:pPr>
            <w:r w:rsidRPr="003155B2">
              <w:rPr>
                <w:rFonts w:ascii="Calibri" w:eastAsia="Times New Roman" w:hAnsi="Calibri" w:cs="Times New Roman"/>
                <w:color w:val="000000"/>
                <w:sz w:val="20"/>
                <w:szCs w:val="20"/>
              </w:rPr>
              <w:t>Sources</w:t>
            </w:r>
          </w:p>
        </w:tc>
        <w:tc>
          <w:tcPr>
            <w:tcW w:w="1292" w:type="pct"/>
            <w:tcBorders>
              <w:top w:val="dotted" w:sz="4" w:space="0" w:color="auto"/>
              <w:left w:val="nil"/>
              <w:bottom w:val="dotted"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20%</w:t>
            </w:r>
          </w:p>
        </w:tc>
      </w:tr>
      <w:tr w:rsidR="00BA79D3" w:rsidRPr="0023679A" w:rsidTr="00F10556">
        <w:tc>
          <w:tcPr>
            <w:tcW w:w="3708" w:type="pct"/>
            <w:tcBorders>
              <w:top w:val="dotted" w:sz="4" w:space="0" w:color="auto"/>
              <w:left w:val="nil"/>
              <w:bottom w:val="single" w:sz="4" w:space="0" w:color="auto"/>
              <w:right w:val="nil"/>
            </w:tcBorders>
            <w:shd w:val="clear" w:color="auto" w:fill="auto"/>
            <w:vAlign w:val="bottom"/>
            <w:hideMark/>
          </w:tcPr>
          <w:p w:rsidR="00BA79D3" w:rsidRPr="0023679A" w:rsidRDefault="00BA79D3" w:rsidP="00F10556">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Mechanics</w:t>
            </w:r>
          </w:p>
        </w:tc>
        <w:tc>
          <w:tcPr>
            <w:tcW w:w="1292" w:type="pct"/>
            <w:tcBorders>
              <w:top w:val="dotted" w:sz="4" w:space="0" w:color="auto"/>
              <w:left w:val="nil"/>
              <w:bottom w:val="single" w:sz="4" w:space="0" w:color="auto"/>
              <w:right w:val="nil"/>
            </w:tcBorders>
            <w:shd w:val="clear" w:color="auto" w:fill="auto"/>
            <w:noWrap/>
            <w:vAlign w:val="bottom"/>
          </w:tcPr>
          <w:p w:rsidR="00BA79D3" w:rsidRDefault="00BA79D3" w:rsidP="00F10556">
            <w:pPr>
              <w:jc w:val="center"/>
              <w:rPr>
                <w:rFonts w:ascii="Calibri" w:hAnsi="Calibri"/>
                <w:color w:val="000000"/>
              </w:rPr>
            </w:pPr>
            <w:r>
              <w:rPr>
                <w:rFonts w:ascii="Calibri" w:hAnsi="Calibri"/>
                <w:color w:val="000000"/>
              </w:rPr>
              <w:t>5%</w:t>
            </w:r>
          </w:p>
        </w:tc>
      </w:tr>
    </w:tbl>
    <w:p w:rsidR="009D123C" w:rsidRPr="00BF2B4A" w:rsidRDefault="009D123C" w:rsidP="00BA79D3">
      <w:pPr>
        <w:rPr>
          <w:b/>
          <w:sz w:val="24"/>
          <w:szCs w:val="24"/>
        </w:rPr>
      </w:pPr>
    </w:p>
    <w:p w:rsidR="00BA79D3" w:rsidRPr="00BF2B4A" w:rsidRDefault="00BA79D3" w:rsidP="00EA5B87">
      <w:pPr>
        <w:jc w:val="center"/>
        <w:rPr>
          <w:b/>
          <w:sz w:val="24"/>
          <w:szCs w:val="24"/>
        </w:rPr>
      </w:pPr>
      <w:r w:rsidRPr="00BF2B4A">
        <w:rPr>
          <w:b/>
          <w:sz w:val="24"/>
          <w:szCs w:val="24"/>
        </w:rPr>
        <w:t>Summary Data</w:t>
      </w:r>
    </w:p>
    <w:p w:rsidR="00BA79D3" w:rsidRPr="00BF2B4A" w:rsidRDefault="00BA79D3" w:rsidP="00BA79D3">
      <w:pPr>
        <w:rPr>
          <w:sz w:val="24"/>
          <w:szCs w:val="24"/>
        </w:rPr>
      </w:pPr>
    </w:p>
    <w:p w:rsidR="00BA79D3" w:rsidRDefault="00BA79D3" w:rsidP="00BA79D3">
      <w:pPr>
        <w:rPr>
          <w:sz w:val="24"/>
          <w:szCs w:val="24"/>
        </w:rPr>
      </w:pPr>
      <w:r w:rsidRPr="00BF2B4A">
        <w:rPr>
          <w:sz w:val="24"/>
          <w:szCs w:val="24"/>
        </w:rPr>
        <w:t>The following three tables show how many students achieved the Tier 1 level, fell below the Tier 1 level, and fell below Benchmark for the three learning goals assessed in Fall 2015. Note that the percentage “Below Benchmark” is also included in the percentage for “Below Tier 1” (which explains why the total of each row adds up to more than 100%):</w:t>
      </w:r>
    </w:p>
    <w:p w:rsidR="00BA79D3" w:rsidRPr="00D07409" w:rsidRDefault="00BA79D3" w:rsidP="00BA79D3">
      <w:pPr>
        <w:pStyle w:val="TableParagraph"/>
        <w:ind w:right="38"/>
        <w:rPr>
          <w:rFonts w:ascii="Garamond" w:hAnsi="Garamond"/>
        </w:rPr>
      </w:pPr>
    </w:p>
    <w:tbl>
      <w:tblPr>
        <w:tblW w:w="8745" w:type="dxa"/>
        <w:tblInd w:w="93" w:type="dxa"/>
        <w:tblLayout w:type="fixed"/>
        <w:tblLook w:val="04A0" w:firstRow="1" w:lastRow="0" w:firstColumn="1" w:lastColumn="0" w:noHBand="0" w:noVBand="1"/>
      </w:tblPr>
      <w:tblGrid>
        <w:gridCol w:w="2085"/>
        <w:gridCol w:w="1980"/>
        <w:gridCol w:w="2430"/>
        <w:gridCol w:w="2250"/>
      </w:tblGrid>
      <w:tr w:rsidR="00BA79D3" w:rsidRPr="00D07409" w:rsidTr="00F10556">
        <w:trPr>
          <w:trHeight w:val="360"/>
        </w:trPr>
        <w:tc>
          <w:tcPr>
            <w:tcW w:w="87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A79D3" w:rsidRPr="00606853" w:rsidRDefault="00BA79D3" w:rsidP="00F10556">
            <w:pPr>
              <w:jc w:val="center"/>
              <w:rPr>
                <w:rFonts w:eastAsia="Times New Roman" w:cs="Times New Roman"/>
                <w:b/>
                <w:bCs/>
                <w:color w:val="000000"/>
              </w:rPr>
            </w:pPr>
            <w:r w:rsidRPr="00606853">
              <w:rPr>
                <w:rFonts w:eastAsia="Times New Roman" w:cs="Times New Roman"/>
                <w:b/>
                <w:bCs/>
                <w:color w:val="000000"/>
              </w:rPr>
              <w:t>Critical Thinking, Tier 1</w:t>
            </w:r>
          </w:p>
        </w:tc>
      </w:tr>
      <w:tr w:rsidR="00BA79D3" w:rsidRPr="00D07409" w:rsidTr="00F10556">
        <w:trPr>
          <w:trHeight w:val="35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 xml:space="preserve">Tier 1 or Above </w:t>
            </w:r>
          </w:p>
        </w:tc>
        <w:tc>
          <w:tcPr>
            <w:tcW w:w="243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 xml:space="preserve">Below Tier 1 </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Benchmark”)</w:t>
            </w:r>
          </w:p>
        </w:tc>
        <w:tc>
          <w:tcPr>
            <w:tcW w:w="2250" w:type="dxa"/>
            <w:tcBorders>
              <w:top w:val="single" w:sz="4" w:space="0" w:color="auto"/>
              <w:left w:val="nil"/>
              <w:bottom w:val="single" w:sz="4" w:space="0" w:color="auto"/>
              <w:right w:val="single" w:sz="4" w:space="0" w:color="auto"/>
            </w:tcBorders>
            <w:shd w:val="clear" w:color="auto" w:fill="B3B3B3"/>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Benchmark</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Tier 1”)</w:t>
            </w:r>
          </w:p>
        </w:tc>
      </w:tr>
      <w:tr w:rsidR="00BA79D3" w:rsidRPr="00D07409" w:rsidTr="00F10556">
        <w:trPr>
          <w:trHeight w:val="560"/>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1980"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58%</w:t>
            </w:r>
          </w:p>
        </w:tc>
        <w:tc>
          <w:tcPr>
            <w:tcW w:w="2430"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42%</w:t>
            </w:r>
          </w:p>
        </w:tc>
        <w:tc>
          <w:tcPr>
            <w:tcW w:w="2250" w:type="dxa"/>
            <w:tcBorders>
              <w:top w:val="single" w:sz="4" w:space="0" w:color="auto"/>
              <w:left w:val="nil"/>
              <w:bottom w:val="single" w:sz="4" w:space="0" w:color="auto"/>
              <w:right w:val="single" w:sz="4" w:space="0" w:color="auto"/>
            </w:tcBorders>
            <w:shd w:val="clear" w:color="auto" w:fill="B3B3B3"/>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8%</w:t>
            </w:r>
          </w:p>
        </w:tc>
      </w:tr>
      <w:tr w:rsidR="00BA79D3" w:rsidRPr="00D07409" w:rsidTr="00F10556">
        <w:trPr>
          <w:trHeight w:val="360"/>
        </w:trPr>
        <w:tc>
          <w:tcPr>
            <w:tcW w:w="2085" w:type="dxa"/>
            <w:tcBorders>
              <w:top w:val="nil"/>
              <w:left w:val="nil"/>
              <w:bottom w:val="nil"/>
              <w:right w:val="nil"/>
            </w:tcBorders>
            <w:shd w:val="clear" w:color="auto" w:fill="auto"/>
            <w:vAlign w:val="bottom"/>
            <w:hideMark/>
          </w:tcPr>
          <w:p w:rsidR="00BA79D3" w:rsidRPr="00D07409" w:rsidRDefault="00BA79D3" w:rsidP="00F10556">
            <w:pPr>
              <w:rPr>
                <w:rFonts w:eastAsia="Times New Roman" w:cs="Times New Roman"/>
                <w:color w:val="000000"/>
                <w:sz w:val="20"/>
                <w:szCs w:val="20"/>
              </w:rPr>
            </w:pPr>
          </w:p>
        </w:tc>
        <w:tc>
          <w:tcPr>
            <w:tcW w:w="198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43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25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r>
      <w:tr w:rsidR="00BA79D3" w:rsidRPr="00D07409" w:rsidTr="00F10556">
        <w:trPr>
          <w:trHeight w:val="360"/>
        </w:trPr>
        <w:tc>
          <w:tcPr>
            <w:tcW w:w="87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A79D3" w:rsidRPr="00606853" w:rsidRDefault="00BA79D3" w:rsidP="00F10556">
            <w:pPr>
              <w:jc w:val="center"/>
              <w:rPr>
                <w:rFonts w:eastAsia="Times New Roman" w:cs="Times New Roman"/>
                <w:b/>
                <w:bCs/>
                <w:color w:val="000000"/>
              </w:rPr>
            </w:pPr>
            <w:r w:rsidRPr="00606853">
              <w:rPr>
                <w:rFonts w:eastAsia="Times New Roman" w:cs="Times New Roman"/>
                <w:b/>
                <w:bCs/>
                <w:color w:val="000000"/>
              </w:rPr>
              <w:t>Oral Communication, Tier 1</w:t>
            </w:r>
          </w:p>
        </w:tc>
      </w:tr>
      <w:tr w:rsidR="00BA79D3" w:rsidRPr="00D07409" w:rsidTr="00F10556">
        <w:trPr>
          <w:trHeight w:val="341"/>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 xml:space="preserve">Tier 1 or Above </w:t>
            </w:r>
          </w:p>
        </w:tc>
        <w:tc>
          <w:tcPr>
            <w:tcW w:w="243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Tier 1</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Benchmark”)</w:t>
            </w:r>
          </w:p>
        </w:tc>
        <w:tc>
          <w:tcPr>
            <w:tcW w:w="2250" w:type="dxa"/>
            <w:tcBorders>
              <w:top w:val="single" w:sz="4" w:space="0" w:color="auto"/>
              <w:left w:val="nil"/>
              <w:bottom w:val="single" w:sz="4" w:space="0" w:color="auto"/>
              <w:right w:val="single" w:sz="4" w:space="0" w:color="auto"/>
            </w:tcBorders>
            <w:shd w:val="clear" w:color="auto" w:fill="B3B3B3"/>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Benchmark</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Tier 1”)</w:t>
            </w:r>
          </w:p>
        </w:tc>
      </w:tr>
      <w:tr w:rsidR="00BA79D3" w:rsidRPr="00D07409" w:rsidTr="00F10556">
        <w:trPr>
          <w:trHeight w:val="560"/>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1980"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60%</w:t>
            </w:r>
          </w:p>
        </w:tc>
        <w:tc>
          <w:tcPr>
            <w:tcW w:w="2430"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40%</w:t>
            </w:r>
          </w:p>
        </w:tc>
        <w:tc>
          <w:tcPr>
            <w:tcW w:w="2250" w:type="dxa"/>
            <w:tcBorders>
              <w:top w:val="single" w:sz="4" w:space="0" w:color="auto"/>
              <w:left w:val="nil"/>
              <w:bottom w:val="single" w:sz="4" w:space="0" w:color="auto"/>
              <w:right w:val="single" w:sz="4" w:space="0" w:color="auto"/>
            </w:tcBorders>
            <w:shd w:val="clear" w:color="auto" w:fill="B3B3B3"/>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20%</w:t>
            </w:r>
          </w:p>
        </w:tc>
      </w:tr>
      <w:tr w:rsidR="00BA79D3" w:rsidRPr="00D07409" w:rsidTr="00F10556">
        <w:trPr>
          <w:trHeight w:val="280"/>
        </w:trPr>
        <w:tc>
          <w:tcPr>
            <w:tcW w:w="2085" w:type="dxa"/>
            <w:tcBorders>
              <w:top w:val="nil"/>
              <w:left w:val="nil"/>
              <w:bottom w:val="nil"/>
              <w:right w:val="nil"/>
            </w:tcBorders>
            <w:shd w:val="clear" w:color="auto" w:fill="auto"/>
            <w:vAlign w:val="bottom"/>
            <w:hideMark/>
          </w:tcPr>
          <w:p w:rsidR="00BA79D3" w:rsidRPr="00D07409" w:rsidRDefault="00BA79D3" w:rsidP="00F10556">
            <w:pPr>
              <w:rPr>
                <w:rFonts w:eastAsia="Times New Roman" w:cs="Times New Roman"/>
                <w:color w:val="000000"/>
                <w:sz w:val="20"/>
                <w:szCs w:val="20"/>
              </w:rPr>
            </w:pPr>
          </w:p>
        </w:tc>
        <w:tc>
          <w:tcPr>
            <w:tcW w:w="198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43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25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r>
      <w:tr w:rsidR="00BA79D3" w:rsidRPr="00D07409" w:rsidTr="00F10556">
        <w:trPr>
          <w:trHeight w:val="360"/>
        </w:trPr>
        <w:tc>
          <w:tcPr>
            <w:tcW w:w="6495" w:type="dxa"/>
            <w:gridSpan w:val="3"/>
            <w:tcBorders>
              <w:top w:val="single" w:sz="4" w:space="0" w:color="auto"/>
              <w:left w:val="single" w:sz="4" w:space="0" w:color="auto"/>
              <w:bottom w:val="single" w:sz="4" w:space="0" w:color="auto"/>
              <w:right w:val="nil"/>
            </w:tcBorders>
            <w:shd w:val="clear" w:color="auto" w:fill="auto"/>
            <w:vAlign w:val="bottom"/>
            <w:hideMark/>
          </w:tcPr>
          <w:p w:rsidR="00BA79D3" w:rsidRPr="00606853" w:rsidRDefault="00BA79D3" w:rsidP="00F10556">
            <w:pPr>
              <w:ind w:right="-2358"/>
              <w:jc w:val="center"/>
              <w:rPr>
                <w:rFonts w:eastAsia="Times New Roman" w:cs="Times New Roman"/>
                <w:b/>
                <w:bCs/>
                <w:color w:val="000000"/>
              </w:rPr>
            </w:pPr>
            <w:r w:rsidRPr="00606853">
              <w:rPr>
                <w:rFonts w:eastAsia="Times New Roman" w:cs="Times New Roman"/>
                <w:b/>
                <w:bCs/>
                <w:color w:val="000000"/>
              </w:rPr>
              <w:t>Written Communication, Tier 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b/>
                <w:bCs/>
                <w:color w:val="000000"/>
                <w:sz w:val="20"/>
                <w:szCs w:val="20"/>
              </w:rPr>
            </w:pPr>
            <w:r w:rsidRPr="00D07409">
              <w:rPr>
                <w:rFonts w:eastAsia="Times New Roman" w:cs="Times New Roman"/>
                <w:b/>
                <w:bCs/>
                <w:color w:val="000000"/>
                <w:sz w:val="20"/>
                <w:szCs w:val="20"/>
              </w:rPr>
              <w:t> </w:t>
            </w:r>
          </w:p>
        </w:tc>
      </w:tr>
      <w:tr w:rsidR="00BA79D3" w:rsidRPr="00D07409" w:rsidTr="00F10556">
        <w:trPr>
          <w:trHeight w:val="368"/>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Tier 1 or Above</w:t>
            </w:r>
          </w:p>
        </w:tc>
        <w:tc>
          <w:tcPr>
            <w:tcW w:w="243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Tier 1</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Benchmark”)</w:t>
            </w:r>
          </w:p>
        </w:tc>
        <w:tc>
          <w:tcPr>
            <w:tcW w:w="2250" w:type="dxa"/>
            <w:tcBorders>
              <w:top w:val="single" w:sz="4" w:space="0" w:color="auto"/>
              <w:left w:val="nil"/>
              <w:bottom w:val="single" w:sz="4" w:space="0" w:color="auto"/>
              <w:right w:val="single" w:sz="4" w:space="0" w:color="auto"/>
            </w:tcBorders>
            <w:shd w:val="clear" w:color="auto" w:fill="B3B3B3"/>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Benchmark</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Tier 1”)</w:t>
            </w:r>
          </w:p>
        </w:tc>
      </w:tr>
      <w:tr w:rsidR="00BA79D3" w:rsidRPr="00D07409" w:rsidTr="00F10556">
        <w:trPr>
          <w:trHeight w:val="56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58%</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42%</w:t>
            </w:r>
          </w:p>
        </w:tc>
        <w:tc>
          <w:tcPr>
            <w:tcW w:w="2250" w:type="dxa"/>
            <w:tcBorders>
              <w:top w:val="single" w:sz="4" w:space="0" w:color="auto"/>
              <w:left w:val="nil"/>
              <w:bottom w:val="single" w:sz="4" w:space="0" w:color="auto"/>
              <w:right w:val="single" w:sz="4" w:space="0" w:color="auto"/>
            </w:tcBorders>
            <w:shd w:val="clear" w:color="auto" w:fill="B3B3B3"/>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6%</w:t>
            </w:r>
          </w:p>
        </w:tc>
      </w:tr>
    </w:tbl>
    <w:p w:rsidR="00BA79D3" w:rsidRPr="00D07409" w:rsidRDefault="00BA79D3" w:rsidP="00BA79D3">
      <w:pPr>
        <w:rPr>
          <w:sz w:val="24"/>
          <w:szCs w:val="24"/>
        </w:rPr>
      </w:pPr>
    </w:p>
    <w:p w:rsidR="00BA79D3" w:rsidRPr="00BF2B4A" w:rsidRDefault="00BA79D3" w:rsidP="00BA79D3">
      <w:pPr>
        <w:rPr>
          <w:sz w:val="24"/>
          <w:szCs w:val="24"/>
        </w:rPr>
      </w:pPr>
      <w:r w:rsidRPr="00BF2B4A">
        <w:rPr>
          <w:sz w:val="24"/>
          <w:szCs w:val="24"/>
        </w:rPr>
        <w:t xml:space="preserve">Students in Tier 1 classes achieved the Tier 1 level 58-60% of the time in all three learning goals. Since Fall 2015 was our first semester assessing these learning goals, there is no comparative data; however, a common target for this type of assessment is 80%. In Fall 2015, students reached the Tier 1 level 80% of the time in only one dimension, “Topic Identification and Management” under Critical Thinking. The next highest level of achievement was in “Language” under Oral Communication, for which 76% of students achieved the Tier 1 level for the course. Although achievement was comparable across the three learning goals in Tier 1, a large percentage (20%) of students fell below the benchmark in Oral Communication. This is considerably more than the 6-8% under benchmark for the other two learning goals. All dimensions under Oral Communication had high percentages below benchmark (10-29%). “Delivery” had the highest percentage under benchmark for Oral Communication. “Supporting Material” showed the smallest percentage of students reaching the Tier 1 level for Oral Communication; it also showed more NAs than other dimensions. </w:t>
      </w:r>
    </w:p>
    <w:p w:rsidR="00BA79D3" w:rsidRPr="00BF2B4A" w:rsidRDefault="00BA79D3" w:rsidP="00BA79D3">
      <w:pPr>
        <w:rPr>
          <w:sz w:val="24"/>
          <w:szCs w:val="24"/>
        </w:rPr>
      </w:pPr>
    </w:p>
    <w:p w:rsidR="00BA79D3" w:rsidRPr="00BF2B4A" w:rsidRDefault="00BA79D3" w:rsidP="00BA79D3">
      <w:pPr>
        <w:rPr>
          <w:sz w:val="24"/>
          <w:szCs w:val="24"/>
        </w:rPr>
      </w:pPr>
      <w:r w:rsidRPr="00BF2B4A">
        <w:rPr>
          <w:sz w:val="24"/>
          <w:szCs w:val="24"/>
        </w:rPr>
        <w:t>In contrast, 76% of students in Tier 1 achieved the Tier 1 level for “Language” under Oral Communication. “Language” also had 80% agreement within one point among jurors, the highest of the dimensions of Oral Communication. The combined Oral Communication results indicate that “Language” skills are not the main issue leading to the high percentage of students falling below Benchmark for Oral Communication; rather, the “Supporting Material” dimension stands out as a challenge area deserving of greater attention.</w:t>
      </w:r>
    </w:p>
    <w:p w:rsidR="00BA79D3" w:rsidRPr="00BF2B4A" w:rsidRDefault="00BA79D3" w:rsidP="00BA79D3">
      <w:pPr>
        <w:rPr>
          <w:sz w:val="24"/>
          <w:szCs w:val="24"/>
        </w:rPr>
      </w:pPr>
    </w:p>
    <w:p w:rsidR="00BA79D3" w:rsidRPr="00BF2B4A" w:rsidRDefault="00BA79D3" w:rsidP="00BA79D3">
      <w:pPr>
        <w:rPr>
          <w:sz w:val="24"/>
          <w:szCs w:val="24"/>
        </w:rPr>
      </w:pPr>
      <w:r w:rsidRPr="00BF2B4A">
        <w:rPr>
          <w:sz w:val="24"/>
          <w:szCs w:val="24"/>
        </w:rPr>
        <w:t xml:space="preserve">When all three learning goals are averaged together, 62% of students in Tier 1 and Tier 2 classes achieved the Tier 1 level. Students in Tier 2 classes were more likely to meet Tier 2 standards than students in Tier 1. However, as the tables below reveal, students in Tier 2 courses did not meet Tier 2 standards at a high rate. </w:t>
      </w:r>
    </w:p>
    <w:p w:rsidR="00BA79D3" w:rsidRPr="00D07409" w:rsidRDefault="00BA79D3" w:rsidP="00BA79D3">
      <w:pPr>
        <w:rPr>
          <w:b/>
          <w:sz w:val="24"/>
          <w:szCs w:val="24"/>
        </w:rPr>
      </w:pPr>
    </w:p>
    <w:tbl>
      <w:tblPr>
        <w:tblW w:w="8740" w:type="dxa"/>
        <w:tblInd w:w="98" w:type="dxa"/>
        <w:tblLayout w:type="fixed"/>
        <w:tblLook w:val="04A0" w:firstRow="1" w:lastRow="0" w:firstColumn="1" w:lastColumn="0" w:noHBand="0" w:noVBand="1"/>
      </w:tblPr>
      <w:tblGrid>
        <w:gridCol w:w="2085"/>
        <w:gridCol w:w="1980"/>
        <w:gridCol w:w="2435"/>
        <w:gridCol w:w="2240"/>
      </w:tblGrid>
      <w:tr w:rsidR="00BA79D3" w:rsidRPr="00D07409" w:rsidTr="00F10556">
        <w:trPr>
          <w:trHeight w:val="360"/>
        </w:trPr>
        <w:tc>
          <w:tcPr>
            <w:tcW w:w="87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A79D3" w:rsidRPr="00606853" w:rsidRDefault="00BA79D3" w:rsidP="00F10556">
            <w:pPr>
              <w:jc w:val="center"/>
              <w:rPr>
                <w:rFonts w:eastAsia="Times New Roman" w:cs="Times New Roman"/>
                <w:b/>
                <w:bCs/>
                <w:color w:val="000000"/>
              </w:rPr>
            </w:pPr>
            <w:r w:rsidRPr="00606853">
              <w:rPr>
                <w:rFonts w:eastAsia="Times New Roman" w:cs="Times New Roman"/>
                <w:b/>
                <w:bCs/>
                <w:color w:val="000000"/>
              </w:rPr>
              <w:t>Critical Thinking, Tier 2</w:t>
            </w:r>
          </w:p>
        </w:tc>
      </w:tr>
      <w:tr w:rsidR="00BA79D3" w:rsidRPr="00D07409" w:rsidTr="00F10556">
        <w:trPr>
          <w:trHeight w:val="350"/>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 xml:space="preserve">Tier 2 or Above </w:t>
            </w:r>
          </w:p>
        </w:tc>
        <w:tc>
          <w:tcPr>
            <w:tcW w:w="2435"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Tier 2</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Benchmark”)</w:t>
            </w:r>
          </w:p>
        </w:tc>
        <w:tc>
          <w:tcPr>
            <w:tcW w:w="2240" w:type="dxa"/>
            <w:tcBorders>
              <w:top w:val="single" w:sz="4" w:space="0" w:color="auto"/>
              <w:left w:val="nil"/>
              <w:bottom w:val="single" w:sz="4" w:space="0" w:color="auto"/>
              <w:right w:val="single" w:sz="4" w:space="0" w:color="auto"/>
            </w:tcBorders>
            <w:shd w:val="clear" w:color="auto" w:fill="B3B3B3"/>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Benchmark</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Tier 2”)</w:t>
            </w:r>
          </w:p>
        </w:tc>
      </w:tr>
      <w:tr w:rsidR="00BA79D3" w:rsidRPr="00D07409" w:rsidTr="00F10556">
        <w:trPr>
          <w:trHeight w:val="560"/>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1980"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29%</w:t>
            </w:r>
          </w:p>
        </w:tc>
        <w:tc>
          <w:tcPr>
            <w:tcW w:w="2435" w:type="dxa"/>
            <w:tcBorders>
              <w:top w:val="nil"/>
              <w:left w:val="nil"/>
              <w:bottom w:val="single" w:sz="4" w:space="0" w:color="auto"/>
              <w:right w:val="single" w:sz="4" w:space="0" w:color="auto"/>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71%</w:t>
            </w:r>
          </w:p>
        </w:tc>
        <w:tc>
          <w:tcPr>
            <w:tcW w:w="2240" w:type="dxa"/>
            <w:tcBorders>
              <w:top w:val="single" w:sz="4" w:space="0" w:color="auto"/>
              <w:left w:val="nil"/>
              <w:bottom w:val="single" w:sz="4" w:space="0" w:color="auto"/>
              <w:right w:val="single" w:sz="4" w:space="0" w:color="auto"/>
            </w:tcBorders>
            <w:shd w:val="clear" w:color="auto" w:fill="B3B3B3"/>
            <w:noWrap/>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5%</w:t>
            </w:r>
          </w:p>
        </w:tc>
      </w:tr>
      <w:tr w:rsidR="00BA79D3" w:rsidRPr="00D07409" w:rsidTr="00F10556">
        <w:trPr>
          <w:trHeight w:val="280"/>
        </w:trPr>
        <w:tc>
          <w:tcPr>
            <w:tcW w:w="2085" w:type="dxa"/>
            <w:tcBorders>
              <w:top w:val="nil"/>
              <w:left w:val="nil"/>
              <w:bottom w:val="nil"/>
              <w:right w:val="nil"/>
            </w:tcBorders>
            <w:shd w:val="clear" w:color="auto" w:fill="auto"/>
            <w:vAlign w:val="bottom"/>
            <w:hideMark/>
          </w:tcPr>
          <w:p w:rsidR="00BA79D3" w:rsidRPr="00D07409" w:rsidRDefault="00BA79D3" w:rsidP="00F10556">
            <w:pPr>
              <w:rPr>
                <w:rFonts w:eastAsia="Times New Roman" w:cs="Times New Roman"/>
                <w:color w:val="000000"/>
                <w:sz w:val="20"/>
                <w:szCs w:val="20"/>
              </w:rPr>
            </w:pPr>
          </w:p>
        </w:tc>
        <w:tc>
          <w:tcPr>
            <w:tcW w:w="198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435"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c>
          <w:tcPr>
            <w:tcW w:w="2240" w:type="dxa"/>
            <w:tcBorders>
              <w:top w:val="nil"/>
              <w:left w:val="nil"/>
              <w:bottom w:val="nil"/>
              <w:right w:val="nil"/>
            </w:tcBorders>
            <w:shd w:val="clear" w:color="auto" w:fill="auto"/>
            <w:noWrap/>
            <w:vAlign w:val="center"/>
            <w:hideMark/>
          </w:tcPr>
          <w:p w:rsidR="00BA79D3" w:rsidRPr="00D07409" w:rsidRDefault="00BA79D3" w:rsidP="00F10556">
            <w:pPr>
              <w:jc w:val="center"/>
              <w:rPr>
                <w:rFonts w:eastAsia="Times New Roman" w:cs="Times New Roman"/>
                <w:color w:val="000000"/>
                <w:sz w:val="20"/>
                <w:szCs w:val="20"/>
              </w:rPr>
            </w:pPr>
          </w:p>
        </w:tc>
      </w:tr>
      <w:tr w:rsidR="00BA79D3" w:rsidRPr="00D07409" w:rsidTr="00F10556">
        <w:trPr>
          <w:trHeight w:val="360"/>
        </w:trPr>
        <w:tc>
          <w:tcPr>
            <w:tcW w:w="874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A79D3" w:rsidRPr="00606853" w:rsidRDefault="00BA79D3" w:rsidP="00F10556">
            <w:pPr>
              <w:jc w:val="center"/>
              <w:rPr>
                <w:rFonts w:eastAsia="Times New Roman" w:cs="Times New Roman"/>
                <w:b/>
                <w:bCs/>
                <w:color w:val="000000"/>
              </w:rPr>
            </w:pPr>
            <w:r w:rsidRPr="00606853">
              <w:rPr>
                <w:rFonts w:eastAsia="Times New Roman" w:cs="Times New Roman"/>
                <w:b/>
                <w:bCs/>
                <w:color w:val="000000"/>
              </w:rPr>
              <w:t>Written Communication, Tier 2</w:t>
            </w:r>
          </w:p>
        </w:tc>
      </w:tr>
      <w:tr w:rsidR="00BA79D3" w:rsidRPr="00D07409" w:rsidTr="00F10556">
        <w:trPr>
          <w:trHeight w:val="359"/>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Tier 2 or Above</w:t>
            </w:r>
          </w:p>
        </w:tc>
        <w:tc>
          <w:tcPr>
            <w:tcW w:w="2435" w:type="dxa"/>
            <w:tcBorders>
              <w:top w:val="nil"/>
              <w:left w:val="nil"/>
              <w:bottom w:val="single" w:sz="4" w:space="0" w:color="auto"/>
              <w:right w:val="single" w:sz="4" w:space="0" w:color="auto"/>
            </w:tcBorders>
            <w:shd w:val="clear" w:color="auto" w:fill="auto"/>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Tier 2</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Benchmark”)</w:t>
            </w:r>
          </w:p>
        </w:tc>
        <w:tc>
          <w:tcPr>
            <w:tcW w:w="2240" w:type="dxa"/>
            <w:tcBorders>
              <w:top w:val="single" w:sz="4" w:space="0" w:color="auto"/>
              <w:left w:val="nil"/>
              <w:bottom w:val="single" w:sz="4" w:space="0" w:color="auto"/>
              <w:right w:val="single" w:sz="4" w:space="0" w:color="auto"/>
            </w:tcBorders>
            <w:shd w:val="clear" w:color="auto" w:fill="B3B3B3"/>
            <w:vAlign w:val="bottom"/>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Below Benchmark</w:t>
            </w:r>
          </w:p>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(Also counted in “Below Tier 2”)</w:t>
            </w:r>
          </w:p>
        </w:tc>
      </w:tr>
      <w:tr w:rsidR="00BA79D3" w:rsidRPr="00D07409" w:rsidTr="00F10556">
        <w:trPr>
          <w:trHeight w:val="560"/>
        </w:trPr>
        <w:tc>
          <w:tcPr>
            <w:tcW w:w="2085" w:type="dxa"/>
            <w:tcBorders>
              <w:top w:val="nil"/>
              <w:left w:val="single" w:sz="4" w:space="0" w:color="auto"/>
              <w:bottom w:val="single" w:sz="4" w:space="0" w:color="auto"/>
              <w:right w:val="single" w:sz="4" w:space="0" w:color="auto"/>
            </w:tcBorders>
            <w:shd w:val="clear" w:color="auto" w:fill="auto"/>
            <w:vAlign w:val="center"/>
            <w:hideMark/>
          </w:tcPr>
          <w:p w:rsidR="00BA79D3" w:rsidRPr="00D07409" w:rsidRDefault="00BA79D3" w:rsidP="00F10556">
            <w:pPr>
              <w:rPr>
                <w:rFonts w:eastAsia="Times New Roman" w:cs="Times New Roman"/>
                <w:color w:val="000000"/>
                <w:sz w:val="20"/>
                <w:szCs w:val="20"/>
              </w:rPr>
            </w:pPr>
            <w:r w:rsidRPr="00D07409">
              <w:rPr>
                <w:rFonts w:eastAsia="Times New Roman" w:cs="Times New Roman"/>
                <w:color w:val="000000"/>
                <w:sz w:val="20"/>
                <w:szCs w:val="20"/>
              </w:rPr>
              <w:t>Average Across Dimensions</w:t>
            </w:r>
          </w:p>
        </w:tc>
        <w:tc>
          <w:tcPr>
            <w:tcW w:w="1980" w:type="dxa"/>
            <w:tcBorders>
              <w:top w:val="nil"/>
              <w:left w:val="nil"/>
              <w:bottom w:val="single" w:sz="4" w:space="0" w:color="auto"/>
              <w:right w:val="single" w:sz="4" w:space="0" w:color="auto"/>
            </w:tcBorders>
            <w:shd w:val="clear" w:color="auto" w:fill="auto"/>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19%</w:t>
            </w:r>
          </w:p>
        </w:tc>
        <w:tc>
          <w:tcPr>
            <w:tcW w:w="2435" w:type="dxa"/>
            <w:tcBorders>
              <w:top w:val="nil"/>
              <w:left w:val="nil"/>
              <w:bottom w:val="single" w:sz="4" w:space="0" w:color="auto"/>
              <w:right w:val="single" w:sz="4" w:space="0" w:color="auto"/>
            </w:tcBorders>
            <w:shd w:val="clear" w:color="auto" w:fill="auto"/>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81%</w:t>
            </w:r>
          </w:p>
        </w:tc>
        <w:tc>
          <w:tcPr>
            <w:tcW w:w="2240" w:type="dxa"/>
            <w:tcBorders>
              <w:top w:val="single" w:sz="4" w:space="0" w:color="auto"/>
              <w:left w:val="nil"/>
              <w:bottom w:val="single" w:sz="4" w:space="0" w:color="auto"/>
              <w:right w:val="single" w:sz="4" w:space="0" w:color="auto"/>
            </w:tcBorders>
            <w:shd w:val="clear" w:color="auto" w:fill="B3B3B3"/>
            <w:vAlign w:val="center"/>
            <w:hideMark/>
          </w:tcPr>
          <w:p w:rsidR="00BA79D3" w:rsidRPr="00D07409" w:rsidRDefault="00BA79D3" w:rsidP="00F10556">
            <w:pPr>
              <w:jc w:val="center"/>
              <w:rPr>
                <w:rFonts w:eastAsia="Times New Roman" w:cs="Times New Roman"/>
                <w:color w:val="000000"/>
                <w:sz w:val="20"/>
                <w:szCs w:val="20"/>
              </w:rPr>
            </w:pPr>
            <w:r w:rsidRPr="00D07409">
              <w:rPr>
                <w:rFonts w:eastAsia="Times New Roman" w:cs="Times New Roman"/>
                <w:color w:val="000000"/>
                <w:sz w:val="20"/>
                <w:szCs w:val="20"/>
              </w:rPr>
              <w:t>5%</w:t>
            </w:r>
          </w:p>
        </w:tc>
      </w:tr>
    </w:tbl>
    <w:p w:rsidR="00BA79D3" w:rsidRPr="00D07409" w:rsidRDefault="00BA79D3" w:rsidP="00BA79D3">
      <w:pPr>
        <w:rPr>
          <w:sz w:val="24"/>
          <w:szCs w:val="24"/>
        </w:rPr>
      </w:pPr>
    </w:p>
    <w:p w:rsidR="00BA79D3" w:rsidRPr="00BF2B4A" w:rsidRDefault="00BA79D3" w:rsidP="00BA79D3">
      <w:pPr>
        <w:rPr>
          <w:sz w:val="24"/>
          <w:szCs w:val="24"/>
        </w:rPr>
      </w:pPr>
      <w:r w:rsidRPr="00BF2B4A">
        <w:rPr>
          <w:sz w:val="24"/>
          <w:szCs w:val="24"/>
        </w:rPr>
        <w:t xml:space="preserve">The two tables above show that 19%-29% of students in Tier 2 courses achieved the Tier 2 outcomes in Fall 2015, the first generation of the new program and a semester in which all students were first-semester freshmen with no previous college-level experience. (Transfer students were not enrolled in General Education courses in Fall 2015.) </w:t>
      </w:r>
    </w:p>
    <w:p w:rsidR="00BA79D3" w:rsidRPr="00BF2B4A" w:rsidRDefault="00BA79D3" w:rsidP="00BA79D3">
      <w:pPr>
        <w:pStyle w:val="TableParagraph"/>
        <w:ind w:right="38"/>
        <w:rPr>
          <w:rFonts w:ascii="Garamond" w:hAnsi="Garamond"/>
          <w:sz w:val="24"/>
          <w:szCs w:val="24"/>
        </w:rPr>
      </w:pPr>
    </w:p>
    <w:p w:rsidR="00BA79D3" w:rsidRPr="00BF2B4A" w:rsidRDefault="00BA79D3" w:rsidP="00BA79D3">
      <w:pPr>
        <w:widowControl w:val="0"/>
        <w:autoSpaceDE w:val="0"/>
        <w:autoSpaceDN w:val="0"/>
        <w:adjustRightInd w:val="0"/>
        <w:rPr>
          <w:rFonts w:cs="Garamond"/>
          <w:sz w:val="24"/>
          <w:szCs w:val="24"/>
        </w:rPr>
      </w:pPr>
      <w:r w:rsidRPr="00BF2B4A">
        <w:rPr>
          <w:rFonts w:cs="Garamond"/>
          <w:sz w:val="24"/>
          <w:szCs w:val="24"/>
        </w:rPr>
        <w:t xml:space="preserve">While the percentage of assessments assigned NA was generally comparable among most dimensions of the three learning goals (5-15%), two dimensions stand out. For Oral Communication, the “Supporting Material” dimension was assigned NA on 20% of assessments; while for Written Communication, the “Sources” dimension was assigned NA on 21% of assessments. It is noteworthy that these two dimensions measure similar skills—the use of external sources (or material) to support a position, perspective, or argument—through different delivery methods. The high percentage of NAs assigned on these dimensions suggests that 1) instructors may need to convey clearer expectations to students about their use of sources and supporting material; and 2) assessment team members may require feedback about what counts as an effective use of “supporting material” on an Oral Communication assignment, and as an effective use of “sources” on a Written Communication assignment. These two dimensions represent an area of particular concern for faculty development work on more effective assignment design </w:t>
      </w:r>
      <w:r w:rsidRPr="00BF2B4A">
        <w:rPr>
          <w:rFonts w:cs="Garamond"/>
          <w:i/>
          <w:sz w:val="24"/>
          <w:szCs w:val="24"/>
        </w:rPr>
        <w:t xml:space="preserve">and </w:t>
      </w:r>
      <w:r w:rsidRPr="00BF2B4A">
        <w:rPr>
          <w:rFonts w:cs="Garamond"/>
          <w:sz w:val="24"/>
          <w:szCs w:val="24"/>
        </w:rPr>
        <w:t xml:space="preserve">more effective assessment/scoring (i.e. juror training). </w:t>
      </w:r>
    </w:p>
    <w:p w:rsidR="00BA79D3" w:rsidRPr="00BF2B4A" w:rsidRDefault="00BA79D3" w:rsidP="00BA79D3">
      <w:pPr>
        <w:widowControl w:val="0"/>
        <w:autoSpaceDE w:val="0"/>
        <w:autoSpaceDN w:val="0"/>
        <w:adjustRightInd w:val="0"/>
        <w:rPr>
          <w:rFonts w:cs="Garamond"/>
          <w:sz w:val="24"/>
          <w:szCs w:val="24"/>
        </w:rPr>
      </w:pPr>
    </w:p>
    <w:p w:rsidR="00BA79D3" w:rsidRPr="00BF2B4A" w:rsidRDefault="00BA79D3" w:rsidP="00BA79D3">
      <w:pPr>
        <w:widowControl w:val="0"/>
        <w:autoSpaceDE w:val="0"/>
        <w:autoSpaceDN w:val="0"/>
        <w:adjustRightInd w:val="0"/>
        <w:rPr>
          <w:rFonts w:cs="Garamond"/>
          <w:sz w:val="24"/>
          <w:szCs w:val="24"/>
        </w:rPr>
      </w:pPr>
      <w:r w:rsidRPr="00BF2B4A">
        <w:rPr>
          <w:rFonts w:cs="Garamond"/>
          <w:sz w:val="24"/>
          <w:szCs w:val="24"/>
        </w:rPr>
        <w:t xml:space="preserve">Among assignments scored for “Sources,” results were lower than on other dimensions for Tier 2 Written Communication (only 8% achieved Tier 2-level). Among assignments scored for “Supporting Material,” results were lower than on other dimensions for Tier 1 Oral Communication (49% achieved Tier 1-level). “Supporting Material” was generally weakest as the only dimension on which more than half of the artifacts in Tier 1 courses rated below the Tier 1-level. This suggests that, when assignment questions/prompts require students to use sources and supporting evidence, students have difficulty doing so. In addition to raising concerns about assignment design on these two dimensions, the data point to a need to find more effective ways to advance student achievement of these outcomes. As stated above, “Sources” and “Supporting Materials” represent priority areas for targeted faculty development.  </w:t>
      </w:r>
    </w:p>
    <w:p w:rsidR="00BA79D3" w:rsidRPr="00BF2B4A" w:rsidRDefault="00BA79D3" w:rsidP="00BA79D3">
      <w:pPr>
        <w:widowControl w:val="0"/>
        <w:autoSpaceDE w:val="0"/>
        <w:autoSpaceDN w:val="0"/>
        <w:adjustRightInd w:val="0"/>
        <w:rPr>
          <w:rFonts w:cs="Garamond"/>
          <w:sz w:val="24"/>
          <w:szCs w:val="24"/>
        </w:rPr>
      </w:pPr>
    </w:p>
    <w:p w:rsidR="00BA79D3" w:rsidRPr="00BF2B4A" w:rsidRDefault="00BA79D3" w:rsidP="00BA79D3">
      <w:pPr>
        <w:widowControl w:val="0"/>
        <w:autoSpaceDE w:val="0"/>
        <w:autoSpaceDN w:val="0"/>
        <w:adjustRightInd w:val="0"/>
        <w:rPr>
          <w:rFonts w:cs="Garamond"/>
          <w:sz w:val="24"/>
          <w:szCs w:val="24"/>
        </w:rPr>
      </w:pPr>
      <w:r w:rsidRPr="00BF2B4A">
        <w:rPr>
          <w:rFonts w:cs="Garamond"/>
          <w:sz w:val="24"/>
          <w:szCs w:val="24"/>
        </w:rPr>
        <w:t xml:space="preserve">After “Supporting Materials” and “Sources,” the dimensions with the next highest percentage of NAs were “Influence of context, assumptions” for Critical Thinking and “Delivery” and “Central message” for Oral Communication. These dimensions also represent areas of focus for improved assignment design and juror training; they each received NAs on 16% of scored assessments. </w:t>
      </w:r>
    </w:p>
    <w:p w:rsidR="00BA79D3" w:rsidRPr="00BF2B4A" w:rsidRDefault="00BA79D3" w:rsidP="00BA79D3">
      <w:pPr>
        <w:widowControl w:val="0"/>
        <w:autoSpaceDE w:val="0"/>
        <w:autoSpaceDN w:val="0"/>
        <w:adjustRightInd w:val="0"/>
        <w:rPr>
          <w:rFonts w:cs="Garamond"/>
          <w:sz w:val="24"/>
          <w:szCs w:val="24"/>
        </w:rPr>
      </w:pPr>
    </w:p>
    <w:p w:rsidR="00BA79D3" w:rsidRPr="00BF2B4A" w:rsidRDefault="00BA79D3" w:rsidP="00BA79D3">
      <w:pPr>
        <w:widowControl w:val="0"/>
        <w:autoSpaceDE w:val="0"/>
        <w:autoSpaceDN w:val="0"/>
        <w:adjustRightInd w:val="0"/>
        <w:rPr>
          <w:rFonts w:cs="Garamond"/>
          <w:sz w:val="24"/>
          <w:szCs w:val="24"/>
        </w:rPr>
      </w:pPr>
      <w:r w:rsidRPr="00BF2B4A">
        <w:rPr>
          <w:rFonts w:cs="Garamond"/>
          <w:sz w:val="24"/>
          <w:szCs w:val="24"/>
        </w:rPr>
        <w:t xml:space="preserve">The high number of NAs assigned across dimensions highlights the need for instructors to clarify, on assignment questions/prompts, the specific requirements for each dimension of the learning goals to ensure that students are fully aware of requirements and expectations and are thus better prepared to demonstrate the appropriate outcomes. Greater specificity on assignments, coupled with targeted coursework designed to improve the requisite skills, should help maximize student achievement of the outcomes while minimizing the number of NAs assigned. In addition to transparent assignment design, more effective communication of, and training in, these specific learning goals and expectations throughout the semester will support program-wide student achievement of the University-wide student learning goals. </w:t>
      </w:r>
    </w:p>
    <w:p w:rsidR="00BA79D3" w:rsidRPr="00BF2B4A" w:rsidRDefault="00BA79D3" w:rsidP="00BA79D3">
      <w:pPr>
        <w:widowControl w:val="0"/>
        <w:autoSpaceDE w:val="0"/>
        <w:autoSpaceDN w:val="0"/>
        <w:adjustRightInd w:val="0"/>
        <w:rPr>
          <w:rFonts w:cs="Garamond"/>
          <w:sz w:val="24"/>
          <w:szCs w:val="24"/>
        </w:rPr>
      </w:pPr>
    </w:p>
    <w:p w:rsidR="00BA79D3" w:rsidRPr="00BF2B4A" w:rsidRDefault="00BA79D3" w:rsidP="00BA79D3">
      <w:pPr>
        <w:widowControl w:val="0"/>
        <w:autoSpaceDE w:val="0"/>
        <w:autoSpaceDN w:val="0"/>
        <w:adjustRightInd w:val="0"/>
        <w:rPr>
          <w:rFonts w:cs="Garamond"/>
          <w:sz w:val="24"/>
          <w:szCs w:val="24"/>
        </w:rPr>
      </w:pPr>
      <w:r w:rsidRPr="00BF2B4A">
        <w:rPr>
          <w:rFonts w:cs="Garamond"/>
          <w:sz w:val="24"/>
          <w:szCs w:val="24"/>
        </w:rPr>
        <w:t xml:space="preserve">For the first semester of implementation, the following inter-rater reliability results are somewhat hopeful: juror pairs reported scores </w:t>
      </w:r>
      <w:r w:rsidRPr="00BF2B4A">
        <w:rPr>
          <w:rFonts w:cs="Garamond"/>
          <w:i/>
          <w:sz w:val="24"/>
          <w:szCs w:val="24"/>
        </w:rPr>
        <w:t xml:space="preserve">within one point of each other </w:t>
      </w:r>
      <w:r w:rsidRPr="00BF2B4A">
        <w:rPr>
          <w:rFonts w:cs="Garamond"/>
          <w:sz w:val="24"/>
          <w:szCs w:val="24"/>
        </w:rPr>
        <w:t xml:space="preserve">about 70-90% of the time for every dimension of all three learning goals except “Supporting Material” under Tier 1 Oral Communication. Furthermore, average juror agreement </w:t>
      </w:r>
      <w:r w:rsidRPr="00BF2B4A">
        <w:rPr>
          <w:rFonts w:cs="Garamond"/>
          <w:i/>
          <w:sz w:val="24"/>
          <w:szCs w:val="24"/>
        </w:rPr>
        <w:t xml:space="preserve">within one point </w:t>
      </w:r>
      <w:r w:rsidRPr="00BF2B4A">
        <w:rPr>
          <w:rFonts w:cs="Garamond"/>
          <w:sz w:val="24"/>
          <w:szCs w:val="24"/>
        </w:rPr>
        <w:t xml:space="preserve">across Tiers 1 and 2 was 82% for Critical Thinking; 84% for Written Communication; and 69% for Oral Communication—and the latter goes up to 73% if “Supporting Materials” is excluded (“Supporting Materials” had by far the lowest juror agreement at 54%). These inter-rater reliability results provide a clear starting point from which to improve. That said, a key finding of the Fall 2015 assessment report is that work remains to be done to increase juror agreement. A few areas of significant disagreement need to be addressed including the number of 3- and 4-point disagreements and the tendency of jurors to disagree among the various dimensions of the learning goals. Perfect juror agreement was achieved on average across the seven dimensions of Critical Thinking (Tiers 1 and 2) 28%-37% of the time; for Oral Communication (Tier 1 only), the range for perfect agreement was 35%-58%; and for Written Communication, the range for perfect agreement was 30%-43%. While across-the-board achievement of perfect agreement is unrealistic, it is not unreasonable to expect that continued assessment practice, as well as reflection and communication among jurors, instructors, and students, will have a positive impact on future results. In addition to the primary work of improving student learning outcomes, efforts to increase inter-rater reliability must be a priority. </w:t>
      </w:r>
    </w:p>
    <w:p w:rsidR="00954643" w:rsidRPr="00BF2B4A" w:rsidRDefault="00954643" w:rsidP="00F10556">
      <w:pPr>
        <w:widowControl w:val="0"/>
        <w:autoSpaceDE w:val="0"/>
        <w:autoSpaceDN w:val="0"/>
        <w:adjustRightInd w:val="0"/>
        <w:rPr>
          <w:rFonts w:cs="Garamond"/>
          <w:b/>
          <w:sz w:val="24"/>
          <w:szCs w:val="24"/>
        </w:rPr>
      </w:pPr>
    </w:p>
    <w:p w:rsidR="00F10556" w:rsidRPr="00BF2B4A" w:rsidRDefault="00C37E74" w:rsidP="00EA5B87">
      <w:pPr>
        <w:widowControl w:val="0"/>
        <w:autoSpaceDE w:val="0"/>
        <w:autoSpaceDN w:val="0"/>
        <w:adjustRightInd w:val="0"/>
        <w:jc w:val="center"/>
        <w:rPr>
          <w:rFonts w:cs="Garamond"/>
          <w:b/>
          <w:sz w:val="24"/>
          <w:szCs w:val="24"/>
        </w:rPr>
      </w:pPr>
      <w:r w:rsidRPr="00BF2B4A">
        <w:rPr>
          <w:rFonts w:cs="Garamond"/>
          <w:b/>
          <w:sz w:val="24"/>
          <w:szCs w:val="24"/>
        </w:rPr>
        <w:t xml:space="preserve">Strategy 7: </w:t>
      </w:r>
      <w:r w:rsidR="002D349E" w:rsidRPr="00BF2B4A">
        <w:rPr>
          <w:rFonts w:cs="Garamond"/>
          <w:b/>
          <w:sz w:val="24"/>
          <w:szCs w:val="24"/>
        </w:rPr>
        <w:t xml:space="preserve">the </w:t>
      </w:r>
      <w:r w:rsidR="00954643" w:rsidRPr="00BF2B4A">
        <w:rPr>
          <w:rFonts w:cs="Garamond"/>
          <w:b/>
          <w:sz w:val="24"/>
          <w:szCs w:val="24"/>
        </w:rPr>
        <w:t>Fall 2016 Pilot</w:t>
      </w:r>
      <w:r w:rsidR="00CF7025">
        <w:rPr>
          <w:rFonts w:cs="Garamond"/>
          <w:b/>
          <w:sz w:val="24"/>
          <w:szCs w:val="24"/>
        </w:rPr>
        <w:t xml:space="preserve"> (Rationale)</w:t>
      </w:r>
    </w:p>
    <w:p w:rsidR="00954643" w:rsidRPr="00BF2B4A" w:rsidRDefault="00954643" w:rsidP="00F10556">
      <w:pPr>
        <w:widowControl w:val="0"/>
        <w:autoSpaceDE w:val="0"/>
        <w:autoSpaceDN w:val="0"/>
        <w:adjustRightInd w:val="0"/>
        <w:rPr>
          <w:rFonts w:cs="Garamond"/>
          <w:sz w:val="24"/>
          <w:szCs w:val="24"/>
        </w:rPr>
      </w:pPr>
    </w:p>
    <w:p w:rsidR="00F10556" w:rsidRPr="00BF2B4A" w:rsidRDefault="00F10556" w:rsidP="00F10556">
      <w:pPr>
        <w:widowControl w:val="0"/>
        <w:autoSpaceDE w:val="0"/>
        <w:autoSpaceDN w:val="0"/>
        <w:adjustRightInd w:val="0"/>
        <w:rPr>
          <w:rFonts w:cs="Garamond"/>
          <w:sz w:val="24"/>
          <w:szCs w:val="24"/>
        </w:rPr>
      </w:pPr>
      <w:r w:rsidRPr="00BF2B4A">
        <w:rPr>
          <w:rFonts w:cs="Garamond"/>
          <w:sz w:val="24"/>
          <w:szCs w:val="24"/>
        </w:rPr>
        <w:t xml:space="preserve">Assessment team participation has been identified as a valuable experience for instructors who have participated—one akin to participation in an intensive faculty development program. Working with colleagues from across the four colleges and dozens of departments, and reviewing student work done in many different courses, takes instructors outside their classrooms and comfort zones, contributes to their knowledge and experience, and allows them to contribute to the enhancement of the knowledge of their colleagues. This can have a positive impact on everyone’s success by helping to ensure that expectations for student achievement are both reasonable and, increasingly, shared. It helps to build a wider culture of learning. Instructor participation in assessment activities also mitigates the need for greater communication and understanding among two groups, instructors and assessment team members, by effectively making them a single group with shared interests and experiences. A greater number of instructors scoring signature assignments might even lead to increased inter-rater reliability. </w:t>
      </w:r>
    </w:p>
    <w:p w:rsidR="00F10556" w:rsidRPr="00BF2B4A" w:rsidRDefault="00F10556" w:rsidP="00F10556">
      <w:pPr>
        <w:widowControl w:val="0"/>
        <w:autoSpaceDE w:val="0"/>
        <w:autoSpaceDN w:val="0"/>
        <w:adjustRightInd w:val="0"/>
        <w:rPr>
          <w:rFonts w:cs="Garamond"/>
          <w:sz w:val="24"/>
          <w:szCs w:val="24"/>
        </w:rPr>
      </w:pPr>
    </w:p>
    <w:p w:rsidR="00F10556" w:rsidRPr="00BF2B4A" w:rsidRDefault="00F10556" w:rsidP="00F10556">
      <w:pPr>
        <w:widowControl w:val="0"/>
        <w:autoSpaceDE w:val="0"/>
        <w:autoSpaceDN w:val="0"/>
        <w:adjustRightInd w:val="0"/>
        <w:rPr>
          <w:rFonts w:cs="Garamond"/>
          <w:sz w:val="24"/>
          <w:szCs w:val="24"/>
        </w:rPr>
      </w:pPr>
      <w:r w:rsidRPr="00BF2B4A">
        <w:rPr>
          <w:rFonts w:cs="Garamond"/>
          <w:sz w:val="24"/>
          <w:szCs w:val="24"/>
        </w:rPr>
        <w:t xml:space="preserve">Unfortunately, it has been a challenge to bring a greater number of instructors onto the assessment team. Furthermore, doing so may not be the most efficient way to increase instructor participation in assessment activities. A more direct and useful strategy would be to ask all instructors to participate in the assessment of their own students’ work, and to focus programmatic attention on providing opportunities for all faculty involved in teaching and assessment to come together to discuss results and </w:t>
      </w:r>
      <w:r w:rsidR="008F0F11" w:rsidRPr="00BF2B4A">
        <w:rPr>
          <w:rFonts w:cs="Garamond"/>
          <w:sz w:val="24"/>
          <w:szCs w:val="24"/>
        </w:rPr>
        <w:t xml:space="preserve">strategize about </w:t>
      </w:r>
      <w:r w:rsidRPr="00BF2B4A">
        <w:rPr>
          <w:rFonts w:cs="Garamond"/>
          <w:sz w:val="24"/>
          <w:szCs w:val="24"/>
        </w:rPr>
        <w:t xml:space="preserve">ways </w:t>
      </w:r>
      <w:r w:rsidR="008F0F11" w:rsidRPr="00BF2B4A">
        <w:rPr>
          <w:rFonts w:cs="Garamond"/>
          <w:sz w:val="24"/>
          <w:szCs w:val="24"/>
        </w:rPr>
        <w:t>to improve</w:t>
      </w:r>
      <w:r w:rsidRPr="00BF2B4A">
        <w:rPr>
          <w:rFonts w:cs="Garamond"/>
          <w:sz w:val="24"/>
          <w:szCs w:val="24"/>
        </w:rPr>
        <w:t xml:space="preserve"> outcomes. While the first phase of assessment activities, relying on the assessment team, has provided a baseline of data from which to move forward, it is also true that few instructors have been involved, and the extent to which instructors will be likely to participate in closing</w:t>
      </w:r>
      <w:r w:rsidR="00C34F2C" w:rsidRPr="00BF2B4A">
        <w:rPr>
          <w:rFonts w:cs="Garamond"/>
          <w:sz w:val="24"/>
          <w:szCs w:val="24"/>
        </w:rPr>
        <w:t>-</w:t>
      </w:r>
      <w:r w:rsidRPr="00BF2B4A">
        <w:rPr>
          <w:rFonts w:cs="Garamond"/>
          <w:sz w:val="24"/>
          <w:szCs w:val="24"/>
        </w:rPr>
        <w:t>the</w:t>
      </w:r>
      <w:r w:rsidR="00C34F2C" w:rsidRPr="00BF2B4A">
        <w:rPr>
          <w:rFonts w:cs="Garamond"/>
          <w:sz w:val="24"/>
          <w:szCs w:val="24"/>
        </w:rPr>
        <w:t>-</w:t>
      </w:r>
      <w:r w:rsidRPr="00BF2B4A">
        <w:rPr>
          <w:rFonts w:cs="Garamond"/>
          <w:sz w:val="24"/>
          <w:szCs w:val="24"/>
        </w:rPr>
        <w:t xml:space="preserve">loop activities based on data they had little to no role in producing remains to be seen. In addition, the lack information on which students did well and which poorly on each of the outcomes and learning goals renders the assessment results less meaningful to faculty who may be likely to assume that the aggregated results do not accurately reflect the performance of their own students. A method of data collection that allows for disaggregating results so that faculty may see how their own students perform, </w:t>
      </w:r>
      <w:r w:rsidR="00C34F2C" w:rsidRPr="00BF2B4A">
        <w:rPr>
          <w:rFonts w:cs="Garamond"/>
          <w:sz w:val="24"/>
          <w:szCs w:val="24"/>
        </w:rPr>
        <w:t xml:space="preserve">and </w:t>
      </w:r>
      <w:r w:rsidRPr="00BF2B4A">
        <w:rPr>
          <w:rFonts w:cs="Garamond"/>
          <w:sz w:val="24"/>
          <w:szCs w:val="24"/>
        </w:rPr>
        <w:t xml:space="preserve">how they fit into the larger programmatic picture, will enhance the value of assessment activities and lead to more relevant and actionable results. </w:t>
      </w:r>
    </w:p>
    <w:p w:rsidR="00F10556" w:rsidRPr="00BF2B4A" w:rsidRDefault="00F10556" w:rsidP="00F10556">
      <w:pPr>
        <w:rPr>
          <w:rFonts w:eastAsiaTheme="minorEastAsia" w:cs="Times New Roman"/>
          <w:sz w:val="24"/>
          <w:szCs w:val="24"/>
        </w:rPr>
      </w:pPr>
    </w:p>
    <w:p w:rsidR="00F10556" w:rsidRPr="00BF2B4A" w:rsidRDefault="00F10556" w:rsidP="00F10556">
      <w:pPr>
        <w:pStyle w:val="TableParagraph"/>
        <w:ind w:right="38"/>
        <w:rPr>
          <w:rFonts w:ascii="Garamond" w:hAnsi="Garamond"/>
          <w:color w:val="1E1916"/>
          <w:sz w:val="24"/>
          <w:szCs w:val="24"/>
        </w:rPr>
      </w:pPr>
      <w:r w:rsidRPr="00BF2B4A">
        <w:rPr>
          <w:rFonts w:ascii="Garamond" w:hAnsi="Garamond"/>
          <w:color w:val="1E1916"/>
          <w:sz w:val="24"/>
          <w:szCs w:val="24"/>
        </w:rPr>
        <w:t xml:space="preserve">Having instructors score their own students’ work using the program rubrics will dramatically reduce the complexity involved in having an outside assessment team, </w:t>
      </w:r>
      <w:r w:rsidR="00C34F2C" w:rsidRPr="00BF2B4A">
        <w:rPr>
          <w:rFonts w:ascii="Garamond" w:hAnsi="Garamond"/>
          <w:color w:val="1E1916"/>
          <w:sz w:val="24"/>
          <w:szCs w:val="24"/>
        </w:rPr>
        <w:t xml:space="preserve">the great majority </w:t>
      </w:r>
      <w:r w:rsidRPr="00BF2B4A">
        <w:rPr>
          <w:rFonts w:ascii="Garamond" w:hAnsi="Garamond"/>
          <w:color w:val="1E1916"/>
          <w:sz w:val="24"/>
          <w:szCs w:val="24"/>
        </w:rPr>
        <w:t xml:space="preserve">of whom are not teaching in the program, score the work of students. In addition, transferring the main scoring practice to the instructors will make implementation of closing-the-loop activities more straightforward as the instructors will have more intimate knowledge of the results and their </w:t>
      </w:r>
      <w:r w:rsidR="00C34F2C" w:rsidRPr="00BF2B4A">
        <w:rPr>
          <w:rFonts w:ascii="Garamond" w:hAnsi="Garamond"/>
          <w:color w:val="1E1916"/>
          <w:sz w:val="24"/>
          <w:szCs w:val="24"/>
        </w:rPr>
        <w:t xml:space="preserve">true </w:t>
      </w:r>
      <w:r w:rsidRPr="00BF2B4A">
        <w:rPr>
          <w:rFonts w:ascii="Garamond" w:hAnsi="Garamond"/>
          <w:color w:val="1E1916"/>
          <w:sz w:val="24"/>
          <w:szCs w:val="24"/>
        </w:rPr>
        <w:t>significance due to their direct involvement in the process</w:t>
      </w:r>
      <w:r w:rsidR="00C34F2C" w:rsidRPr="00BF2B4A">
        <w:rPr>
          <w:rFonts w:ascii="Garamond" w:hAnsi="Garamond"/>
          <w:color w:val="1E1916"/>
          <w:sz w:val="24"/>
          <w:szCs w:val="24"/>
        </w:rPr>
        <w:t xml:space="preserve"> scoring the work of their own students</w:t>
      </w:r>
      <w:r w:rsidRPr="00BF2B4A">
        <w:rPr>
          <w:rFonts w:ascii="Garamond" w:hAnsi="Garamond"/>
          <w:color w:val="1E1916"/>
          <w:sz w:val="24"/>
          <w:szCs w:val="24"/>
        </w:rPr>
        <w:t xml:space="preserve">. </w:t>
      </w:r>
    </w:p>
    <w:p w:rsidR="00F10556" w:rsidRPr="00BF2B4A" w:rsidRDefault="00F10556" w:rsidP="00F10556">
      <w:pPr>
        <w:pStyle w:val="TableParagraph"/>
        <w:ind w:right="38"/>
        <w:rPr>
          <w:rFonts w:ascii="Garamond" w:hAnsi="Garamond"/>
          <w:color w:val="1E1916"/>
          <w:sz w:val="24"/>
          <w:szCs w:val="24"/>
        </w:rPr>
      </w:pPr>
    </w:p>
    <w:p w:rsidR="00F10556" w:rsidRPr="00BF2B4A" w:rsidRDefault="00F10556" w:rsidP="00F10556">
      <w:pPr>
        <w:pStyle w:val="TableParagraph"/>
        <w:ind w:right="38"/>
        <w:rPr>
          <w:rFonts w:ascii="Garamond" w:hAnsi="Garamond"/>
          <w:color w:val="1E1916"/>
          <w:sz w:val="24"/>
          <w:szCs w:val="24"/>
        </w:rPr>
      </w:pPr>
      <w:r w:rsidRPr="00BF2B4A">
        <w:rPr>
          <w:rFonts w:ascii="Garamond" w:hAnsi="Garamond"/>
          <w:color w:val="1E1916"/>
          <w:sz w:val="24"/>
          <w:szCs w:val="24"/>
        </w:rPr>
        <w:t>During programmatic assessment</w:t>
      </w:r>
      <w:r w:rsidR="004755D9" w:rsidRPr="00BF2B4A">
        <w:rPr>
          <w:rFonts w:ascii="Garamond" w:hAnsi="Garamond"/>
          <w:color w:val="1E1916"/>
          <w:sz w:val="24"/>
          <w:szCs w:val="24"/>
        </w:rPr>
        <w:t xml:space="preserve"> in Fall 2015 and Spring 2016</w:t>
      </w:r>
      <w:r w:rsidRPr="00BF2B4A">
        <w:rPr>
          <w:rFonts w:ascii="Garamond" w:hAnsi="Garamond"/>
          <w:color w:val="1E1916"/>
          <w:sz w:val="24"/>
          <w:szCs w:val="24"/>
        </w:rPr>
        <w:t xml:space="preserve">, the names and identities of students and instructors were detached from the assessment results of the students whose work was being assessed by the assessment team. </w:t>
      </w:r>
      <w:r w:rsidR="004755D9" w:rsidRPr="00BF2B4A">
        <w:rPr>
          <w:rFonts w:ascii="Garamond" w:hAnsi="Garamond"/>
          <w:color w:val="1E1916"/>
          <w:sz w:val="24"/>
          <w:szCs w:val="24"/>
        </w:rPr>
        <w:t>R</w:t>
      </w:r>
      <w:r w:rsidRPr="00BF2B4A">
        <w:rPr>
          <w:rFonts w:ascii="Garamond" w:hAnsi="Garamond"/>
          <w:color w:val="1E1916"/>
          <w:sz w:val="24"/>
          <w:szCs w:val="24"/>
        </w:rPr>
        <w:t xml:space="preserve">esults for each learning goal were broken down according to the Tier level of the course in which the student did the assignment, but no further information could be gleaned from the results. </w:t>
      </w:r>
      <w:r w:rsidR="004755D9" w:rsidRPr="00BF2B4A">
        <w:rPr>
          <w:rFonts w:ascii="Garamond" w:hAnsi="Garamond"/>
          <w:color w:val="1E1916"/>
          <w:sz w:val="24"/>
          <w:szCs w:val="24"/>
        </w:rPr>
        <w:t xml:space="preserve">This meant </w:t>
      </w:r>
      <w:r w:rsidR="00887E7C" w:rsidRPr="00BF2B4A">
        <w:rPr>
          <w:rFonts w:ascii="Garamond" w:hAnsi="Garamond"/>
          <w:color w:val="1E1916"/>
          <w:sz w:val="24"/>
          <w:szCs w:val="24"/>
        </w:rPr>
        <w:t>that any results were aggregate</w:t>
      </w:r>
      <w:r w:rsidR="004755D9" w:rsidRPr="00BF2B4A">
        <w:rPr>
          <w:rFonts w:ascii="Garamond" w:hAnsi="Garamond"/>
          <w:color w:val="1E1916"/>
          <w:sz w:val="24"/>
          <w:szCs w:val="24"/>
        </w:rPr>
        <w:t xml:space="preserve"> and could not be disaggregated beyond the Tiers</w:t>
      </w:r>
      <w:r w:rsidR="00E9341D" w:rsidRPr="00BF2B4A">
        <w:rPr>
          <w:rFonts w:ascii="Garamond" w:hAnsi="Garamond"/>
          <w:color w:val="1E1916"/>
          <w:sz w:val="24"/>
          <w:szCs w:val="24"/>
        </w:rPr>
        <w:t xml:space="preserve">. </w:t>
      </w:r>
      <w:r w:rsidRPr="00BF2B4A">
        <w:rPr>
          <w:rFonts w:ascii="Garamond" w:hAnsi="Garamond"/>
          <w:color w:val="1E1916"/>
          <w:sz w:val="24"/>
          <w:szCs w:val="24"/>
        </w:rPr>
        <w:t xml:space="preserve">For example, we have data on the number of students in Tier 1 and Tier 2 classes who reached the Tier 1 or Tier 2 level of proficiency in each of the learning goals, and in each of the outcomes for each of the learning goals, but we are unable to </w:t>
      </w:r>
      <w:r w:rsidR="00E9341D" w:rsidRPr="00BF2B4A">
        <w:rPr>
          <w:rFonts w:ascii="Garamond" w:hAnsi="Garamond"/>
          <w:color w:val="1E1916"/>
          <w:sz w:val="24"/>
          <w:szCs w:val="24"/>
        </w:rPr>
        <w:t xml:space="preserve">access </w:t>
      </w:r>
      <w:r w:rsidRPr="00BF2B4A">
        <w:rPr>
          <w:rFonts w:ascii="Garamond" w:hAnsi="Garamond"/>
          <w:color w:val="1E1916"/>
          <w:sz w:val="24"/>
          <w:szCs w:val="24"/>
        </w:rPr>
        <w:t xml:space="preserve">more detailed data, </w:t>
      </w:r>
      <w:r w:rsidR="00E9341D" w:rsidRPr="00BF2B4A">
        <w:rPr>
          <w:rFonts w:ascii="Garamond" w:hAnsi="Garamond"/>
          <w:color w:val="1E1916"/>
          <w:sz w:val="24"/>
          <w:szCs w:val="24"/>
        </w:rPr>
        <w:t xml:space="preserve">for example, </w:t>
      </w:r>
      <w:r w:rsidRPr="00BF2B4A">
        <w:rPr>
          <w:rFonts w:ascii="Garamond" w:hAnsi="Garamond"/>
          <w:color w:val="1E1916"/>
          <w:sz w:val="24"/>
          <w:szCs w:val="24"/>
        </w:rPr>
        <w:t xml:space="preserve">to provide each instructor with a report on his or her own students’ results and a comparison to the </w:t>
      </w:r>
      <w:r w:rsidR="00E9341D" w:rsidRPr="00BF2B4A">
        <w:rPr>
          <w:rFonts w:ascii="Garamond" w:hAnsi="Garamond"/>
          <w:color w:val="1E1916"/>
          <w:sz w:val="24"/>
          <w:szCs w:val="24"/>
        </w:rPr>
        <w:t xml:space="preserve">relevant </w:t>
      </w:r>
      <w:r w:rsidR="00887E7C" w:rsidRPr="00BF2B4A">
        <w:rPr>
          <w:rFonts w:ascii="Garamond" w:hAnsi="Garamond"/>
          <w:color w:val="1E1916"/>
          <w:sz w:val="24"/>
          <w:szCs w:val="24"/>
        </w:rPr>
        <w:t>aggregate</w:t>
      </w:r>
      <w:r w:rsidRPr="00BF2B4A">
        <w:rPr>
          <w:rFonts w:ascii="Garamond" w:hAnsi="Garamond"/>
          <w:color w:val="1E1916"/>
          <w:sz w:val="24"/>
          <w:szCs w:val="24"/>
        </w:rPr>
        <w:t xml:space="preserve"> programmatic data. As a result, it </w:t>
      </w:r>
      <w:r w:rsidR="00E9341D" w:rsidRPr="00BF2B4A">
        <w:rPr>
          <w:rFonts w:ascii="Garamond" w:hAnsi="Garamond"/>
          <w:color w:val="1E1916"/>
          <w:sz w:val="24"/>
          <w:szCs w:val="24"/>
        </w:rPr>
        <w:t xml:space="preserve">has been </w:t>
      </w:r>
      <w:r w:rsidRPr="00BF2B4A">
        <w:rPr>
          <w:rFonts w:ascii="Garamond" w:hAnsi="Garamond"/>
          <w:color w:val="1E1916"/>
          <w:sz w:val="24"/>
          <w:szCs w:val="24"/>
        </w:rPr>
        <w:t>impossible for instructors to design more targeted curricular or pedagogical interventions based on course-specific results in the context of program-wide results</w:t>
      </w:r>
      <w:r w:rsidR="00E9341D" w:rsidRPr="00BF2B4A">
        <w:rPr>
          <w:rFonts w:ascii="Garamond" w:hAnsi="Garamond"/>
          <w:color w:val="1E1916"/>
          <w:sz w:val="24"/>
          <w:szCs w:val="24"/>
        </w:rPr>
        <w:t xml:space="preserve">. </w:t>
      </w:r>
      <w:r w:rsidRPr="00BF2B4A">
        <w:rPr>
          <w:rFonts w:ascii="Garamond" w:hAnsi="Garamond"/>
          <w:color w:val="1E1916"/>
          <w:sz w:val="24"/>
          <w:szCs w:val="24"/>
        </w:rPr>
        <w:t xml:space="preserve">The first phase of programmatic assessment </w:t>
      </w:r>
      <w:r w:rsidR="00E9341D" w:rsidRPr="00BF2B4A">
        <w:rPr>
          <w:rFonts w:ascii="Garamond" w:hAnsi="Garamond"/>
          <w:color w:val="1E1916"/>
          <w:sz w:val="24"/>
          <w:szCs w:val="24"/>
        </w:rPr>
        <w:t xml:space="preserve">thus </w:t>
      </w:r>
      <w:r w:rsidRPr="00BF2B4A">
        <w:rPr>
          <w:rFonts w:ascii="Garamond" w:hAnsi="Garamond"/>
          <w:color w:val="1E1916"/>
          <w:sz w:val="24"/>
          <w:szCs w:val="24"/>
        </w:rPr>
        <w:t>severely limited the power of assessment to inform specific interventions to improve student learning. We will be able to learn a lot more from our assessment activities through the implementation of a few adjustments to the plan starting with a pilot that asks faculty to score their own students’ work using the program rubrics on Tk20.</w:t>
      </w:r>
    </w:p>
    <w:p w:rsidR="00F10556" w:rsidRPr="00BF2B4A" w:rsidRDefault="00F10556" w:rsidP="00F10556">
      <w:pPr>
        <w:pStyle w:val="TableParagraph"/>
        <w:ind w:right="38"/>
        <w:rPr>
          <w:rFonts w:ascii="Garamond" w:hAnsi="Garamond"/>
          <w:color w:val="1E1916"/>
          <w:sz w:val="24"/>
          <w:szCs w:val="24"/>
        </w:rPr>
      </w:pPr>
    </w:p>
    <w:p w:rsidR="00E9341D" w:rsidRPr="00BF2B4A" w:rsidRDefault="00F10556" w:rsidP="00F10556">
      <w:pPr>
        <w:pStyle w:val="TableParagraph"/>
        <w:ind w:right="38"/>
        <w:rPr>
          <w:rFonts w:ascii="Garamond" w:hAnsi="Garamond"/>
          <w:color w:val="1E1916"/>
          <w:sz w:val="24"/>
          <w:szCs w:val="24"/>
        </w:rPr>
      </w:pPr>
      <w:r w:rsidRPr="00BF2B4A">
        <w:rPr>
          <w:rFonts w:ascii="Garamond" w:hAnsi="Garamond"/>
          <w:color w:val="1E1916"/>
          <w:sz w:val="24"/>
          <w:szCs w:val="24"/>
        </w:rPr>
        <w:t xml:space="preserve">In Fall 2016, instructors teaching General Education courses will be asked to complete assessment rubrics for end-of-semester signature assignments </w:t>
      </w:r>
      <w:r w:rsidR="00E9341D" w:rsidRPr="00BF2B4A">
        <w:rPr>
          <w:rFonts w:ascii="Garamond" w:hAnsi="Garamond"/>
          <w:color w:val="1E1916"/>
          <w:sz w:val="24"/>
          <w:szCs w:val="24"/>
        </w:rPr>
        <w:t xml:space="preserve">in their courses </w:t>
      </w:r>
      <w:r w:rsidRPr="00BF2B4A">
        <w:rPr>
          <w:rFonts w:ascii="Garamond" w:hAnsi="Garamond"/>
          <w:color w:val="1E1916"/>
          <w:sz w:val="24"/>
          <w:szCs w:val="24"/>
        </w:rPr>
        <w:t xml:space="preserve">to assess their own students’ achievement of the outcomes associated with each of the two learning goals covered. Piloting individual instructor involvement in programmatic assessment will allow disaggregated data to be marshaled in service of curricular and pedagogical improvements to increase student success. </w:t>
      </w:r>
    </w:p>
    <w:p w:rsidR="00E9341D" w:rsidRPr="00BF2B4A" w:rsidRDefault="00E9341D" w:rsidP="00F10556">
      <w:pPr>
        <w:pStyle w:val="TableParagraph"/>
        <w:ind w:right="38"/>
        <w:rPr>
          <w:rFonts w:ascii="Garamond" w:hAnsi="Garamond"/>
          <w:color w:val="1E1916"/>
          <w:sz w:val="24"/>
          <w:szCs w:val="24"/>
        </w:rPr>
      </w:pPr>
    </w:p>
    <w:p w:rsidR="004815F2" w:rsidRPr="00BF2B4A" w:rsidRDefault="008C3994" w:rsidP="005C7B6E">
      <w:pPr>
        <w:pStyle w:val="TableParagraph"/>
        <w:ind w:right="38"/>
        <w:rPr>
          <w:rFonts w:ascii="Garamond" w:eastAsiaTheme="minorEastAsia" w:hAnsi="Garamond" w:cs="Times New Roman"/>
          <w:sz w:val="24"/>
          <w:szCs w:val="24"/>
        </w:rPr>
      </w:pPr>
      <w:r w:rsidRPr="00BF2B4A">
        <w:rPr>
          <w:rFonts w:ascii="Garamond" w:eastAsiaTheme="minorEastAsia" w:hAnsi="Garamond" w:cs="Times New Roman"/>
          <w:sz w:val="24"/>
          <w:szCs w:val="24"/>
        </w:rPr>
        <w:t xml:space="preserve">The </w:t>
      </w:r>
      <w:r w:rsidR="00B81133">
        <w:rPr>
          <w:rFonts w:ascii="Garamond" w:eastAsiaTheme="minorEastAsia" w:hAnsi="Garamond" w:cs="Times New Roman"/>
          <w:sz w:val="24"/>
          <w:szCs w:val="24"/>
        </w:rPr>
        <w:t>Assistant</w:t>
      </w:r>
      <w:r w:rsidRPr="00BF2B4A">
        <w:rPr>
          <w:rFonts w:ascii="Garamond" w:eastAsiaTheme="minorEastAsia" w:hAnsi="Garamond" w:cs="Times New Roman"/>
          <w:sz w:val="24"/>
          <w:szCs w:val="24"/>
        </w:rPr>
        <w:t xml:space="preserve"> Vice President for Institutional Effectiveness has agreed to implement a coding system to prevent raw data on individual student performance from being linked to individual faculty instructors in case of an accidental release of assessment data. </w:t>
      </w:r>
      <w:r w:rsidR="00E9341D" w:rsidRPr="00BF2B4A">
        <w:rPr>
          <w:rFonts w:ascii="Garamond" w:hAnsi="Garamond"/>
          <w:color w:val="1E1916"/>
          <w:sz w:val="24"/>
          <w:szCs w:val="24"/>
        </w:rPr>
        <w:t xml:space="preserve">The disaggregated data will be released on a very limited basis. </w:t>
      </w:r>
      <w:r w:rsidR="00E9341D" w:rsidRPr="00BF2B4A">
        <w:rPr>
          <w:rFonts w:ascii="Garamond" w:eastAsiaTheme="minorEastAsia" w:hAnsi="Garamond" w:cs="Times New Roman"/>
          <w:sz w:val="24"/>
          <w:szCs w:val="24"/>
        </w:rPr>
        <w:t>In fact, o</w:t>
      </w:r>
      <w:r w:rsidR="00F10556" w:rsidRPr="00BF2B4A">
        <w:rPr>
          <w:rFonts w:ascii="Garamond" w:eastAsiaTheme="minorEastAsia" w:hAnsi="Garamond" w:cs="Times New Roman"/>
          <w:sz w:val="24"/>
          <w:szCs w:val="24"/>
        </w:rPr>
        <w:t xml:space="preserve">nly </w:t>
      </w:r>
      <w:r w:rsidR="006A0EEC" w:rsidRPr="00BF2B4A">
        <w:rPr>
          <w:rFonts w:ascii="Garamond" w:eastAsiaTheme="minorEastAsia" w:hAnsi="Garamond" w:cs="Times New Roman"/>
          <w:sz w:val="24"/>
          <w:szCs w:val="24"/>
        </w:rPr>
        <w:t xml:space="preserve">the </w:t>
      </w:r>
      <w:r w:rsidR="00F10556" w:rsidRPr="00BF2B4A">
        <w:rPr>
          <w:rFonts w:ascii="Garamond" w:eastAsiaTheme="minorEastAsia" w:hAnsi="Garamond" w:cs="Times New Roman"/>
          <w:sz w:val="24"/>
          <w:szCs w:val="24"/>
        </w:rPr>
        <w:t xml:space="preserve">Director of General Education and </w:t>
      </w:r>
      <w:r w:rsidR="006A0EEC" w:rsidRPr="00BF2B4A">
        <w:rPr>
          <w:rFonts w:ascii="Garamond" w:eastAsiaTheme="minorEastAsia" w:hAnsi="Garamond" w:cs="Times New Roman"/>
          <w:sz w:val="24"/>
          <w:szCs w:val="24"/>
        </w:rPr>
        <w:t xml:space="preserve">the </w:t>
      </w:r>
      <w:r w:rsidR="00B81133">
        <w:rPr>
          <w:rFonts w:ascii="Garamond" w:eastAsiaTheme="minorEastAsia" w:hAnsi="Garamond" w:cs="Times New Roman"/>
          <w:sz w:val="24"/>
          <w:szCs w:val="24"/>
        </w:rPr>
        <w:t>Assistant</w:t>
      </w:r>
      <w:r w:rsidR="006A0EEC" w:rsidRPr="00BF2B4A">
        <w:rPr>
          <w:rFonts w:ascii="Garamond" w:eastAsiaTheme="minorEastAsia" w:hAnsi="Garamond" w:cs="Times New Roman"/>
          <w:sz w:val="24"/>
          <w:szCs w:val="24"/>
        </w:rPr>
        <w:t xml:space="preserve"> Vice President for Institutional Effectiveness </w:t>
      </w:r>
      <w:r w:rsidR="00F10556" w:rsidRPr="00BF2B4A">
        <w:rPr>
          <w:rFonts w:ascii="Garamond" w:eastAsiaTheme="minorEastAsia" w:hAnsi="Garamond" w:cs="Times New Roman"/>
          <w:sz w:val="24"/>
          <w:szCs w:val="24"/>
        </w:rPr>
        <w:t>will have access to disaggregated data</w:t>
      </w:r>
      <w:r w:rsidR="005A3E91" w:rsidRPr="00BF2B4A">
        <w:rPr>
          <w:rFonts w:ascii="Garamond" w:eastAsiaTheme="minorEastAsia" w:hAnsi="Garamond" w:cs="Times New Roman"/>
          <w:sz w:val="24"/>
          <w:szCs w:val="24"/>
        </w:rPr>
        <w:t xml:space="preserve">; and reports of disaggregated data on individual classes </w:t>
      </w:r>
      <w:r w:rsidRPr="00BF2B4A">
        <w:rPr>
          <w:rFonts w:ascii="Garamond" w:eastAsiaTheme="minorEastAsia" w:hAnsi="Garamond" w:cs="Times New Roman"/>
          <w:sz w:val="24"/>
          <w:szCs w:val="24"/>
        </w:rPr>
        <w:t xml:space="preserve">will be made </w:t>
      </w:r>
      <w:r w:rsidR="005A3E91" w:rsidRPr="00BF2B4A">
        <w:rPr>
          <w:rFonts w:ascii="Garamond" w:eastAsiaTheme="minorEastAsia" w:hAnsi="Garamond" w:cs="Times New Roman"/>
          <w:sz w:val="24"/>
          <w:szCs w:val="24"/>
        </w:rPr>
        <w:t>exclusively to the faculty who taught those classes</w:t>
      </w:r>
      <w:r w:rsidR="006A0EEC" w:rsidRPr="00BF2B4A">
        <w:rPr>
          <w:rFonts w:ascii="Garamond" w:eastAsiaTheme="minorEastAsia" w:hAnsi="Garamond" w:cs="Times New Roman"/>
          <w:sz w:val="24"/>
          <w:szCs w:val="24"/>
        </w:rPr>
        <w:t xml:space="preserve">. </w:t>
      </w:r>
    </w:p>
    <w:p w:rsidR="004815F2" w:rsidRPr="00BF2B4A" w:rsidRDefault="004815F2" w:rsidP="005C7B6E">
      <w:pPr>
        <w:pStyle w:val="TableParagraph"/>
        <w:ind w:right="38"/>
        <w:rPr>
          <w:rFonts w:ascii="Garamond" w:eastAsiaTheme="minorEastAsia" w:hAnsi="Garamond" w:cs="Times New Roman"/>
          <w:sz w:val="24"/>
          <w:szCs w:val="24"/>
        </w:rPr>
      </w:pPr>
    </w:p>
    <w:p w:rsidR="00946E98" w:rsidRPr="00BF2B4A" w:rsidRDefault="004815F2" w:rsidP="00F10556">
      <w:pPr>
        <w:pStyle w:val="TableParagraph"/>
        <w:ind w:right="38"/>
        <w:rPr>
          <w:rFonts w:ascii="Garamond" w:eastAsiaTheme="minorEastAsia" w:hAnsi="Garamond" w:cs="Times New Roman"/>
          <w:sz w:val="24"/>
          <w:szCs w:val="24"/>
        </w:rPr>
      </w:pPr>
      <w:r w:rsidRPr="00BF2B4A">
        <w:rPr>
          <w:rFonts w:ascii="Garamond" w:eastAsiaTheme="minorEastAsia" w:hAnsi="Garamond" w:cs="Times New Roman"/>
          <w:sz w:val="24"/>
          <w:szCs w:val="24"/>
        </w:rPr>
        <w:t xml:space="preserve">Director of General Education and the </w:t>
      </w:r>
      <w:r w:rsidR="00B81133">
        <w:rPr>
          <w:rFonts w:ascii="Garamond" w:eastAsiaTheme="minorEastAsia" w:hAnsi="Garamond" w:cs="Times New Roman"/>
          <w:sz w:val="24"/>
          <w:szCs w:val="24"/>
        </w:rPr>
        <w:t>Assistant</w:t>
      </w:r>
      <w:r w:rsidRPr="00BF2B4A">
        <w:rPr>
          <w:rFonts w:ascii="Garamond" w:eastAsiaTheme="minorEastAsia" w:hAnsi="Garamond" w:cs="Times New Roman"/>
          <w:sz w:val="24"/>
          <w:szCs w:val="24"/>
        </w:rPr>
        <w:t xml:space="preserve"> Vice President for Institutional Effectiveness have agreed to the following:</w:t>
      </w:r>
    </w:p>
    <w:p w:rsidR="00946E98" w:rsidRPr="00BF2B4A" w:rsidRDefault="00946E98" w:rsidP="00F10556">
      <w:pPr>
        <w:pStyle w:val="TableParagraph"/>
        <w:ind w:right="38"/>
        <w:rPr>
          <w:rFonts w:ascii="Garamond" w:eastAsiaTheme="minorEastAsia" w:hAnsi="Garamond" w:cs="Times New Roman"/>
          <w:sz w:val="24"/>
          <w:szCs w:val="24"/>
        </w:rPr>
      </w:pPr>
    </w:p>
    <w:p w:rsidR="001052A5" w:rsidRDefault="00571E9F" w:rsidP="008D4BC2">
      <w:pPr>
        <w:pStyle w:val="TableParagraph"/>
        <w:ind w:left="720" w:right="720"/>
        <w:jc w:val="center"/>
        <w:rPr>
          <w:rFonts w:ascii="Garamond" w:eastAsiaTheme="minorEastAsia" w:hAnsi="Garamond" w:cs="Times New Roman"/>
          <w:sz w:val="24"/>
          <w:szCs w:val="24"/>
        </w:rPr>
      </w:pPr>
      <w:r>
        <w:rPr>
          <w:rFonts w:ascii="Garamond" w:eastAsiaTheme="minorEastAsia" w:hAnsi="Garamond" w:cs="Times New Roman"/>
          <w:sz w:val="24"/>
          <w:szCs w:val="24"/>
        </w:rPr>
        <w:t xml:space="preserve">Statement on </w:t>
      </w:r>
      <w:r w:rsidR="00946E98" w:rsidRPr="008D4BC2">
        <w:rPr>
          <w:rFonts w:ascii="Garamond" w:eastAsiaTheme="minorEastAsia" w:hAnsi="Garamond" w:cs="Times New Roman"/>
          <w:sz w:val="24"/>
          <w:szCs w:val="24"/>
        </w:rPr>
        <w:t xml:space="preserve">Disclosure of </w:t>
      </w:r>
    </w:p>
    <w:p w:rsidR="0078174B" w:rsidRDefault="00946E98" w:rsidP="008D4BC2">
      <w:pPr>
        <w:pStyle w:val="TableParagraph"/>
        <w:ind w:left="720" w:right="720"/>
        <w:jc w:val="center"/>
        <w:rPr>
          <w:rFonts w:ascii="Garamond" w:eastAsiaTheme="minorEastAsia" w:hAnsi="Garamond" w:cs="Times New Roman"/>
          <w:sz w:val="24"/>
          <w:szCs w:val="24"/>
        </w:rPr>
      </w:pPr>
      <w:r w:rsidRPr="008D4BC2">
        <w:rPr>
          <w:rFonts w:ascii="Garamond" w:eastAsiaTheme="minorEastAsia" w:hAnsi="Garamond" w:cs="Times New Roman"/>
          <w:sz w:val="24"/>
          <w:szCs w:val="24"/>
        </w:rPr>
        <w:t>Direct Assessment Data in General Education</w:t>
      </w:r>
    </w:p>
    <w:p w:rsidR="008D4BC2" w:rsidRPr="008D4BC2" w:rsidRDefault="008D4BC2" w:rsidP="008D4BC2">
      <w:pPr>
        <w:pStyle w:val="TableParagraph"/>
        <w:ind w:left="720" w:right="720"/>
        <w:jc w:val="center"/>
        <w:rPr>
          <w:rFonts w:ascii="Garamond" w:eastAsiaTheme="minorEastAsia" w:hAnsi="Garamond" w:cs="Times New Roman"/>
          <w:sz w:val="24"/>
          <w:szCs w:val="24"/>
        </w:rPr>
      </w:pPr>
    </w:p>
    <w:p w:rsidR="002C0A7A" w:rsidRPr="008D4BC2" w:rsidRDefault="008C6333" w:rsidP="008D4BC2">
      <w:pPr>
        <w:pStyle w:val="TableParagraph"/>
        <w:ind w:left="720" w:right="720"/>
        <w:rPr>
          <w:rFonts w:ascii="Garamond" w:eastAsiaTheme="minorEastAsia" w:hAnsi="Garamond" w:cs="Times New Roman"/>
          <w:sz w:val="24"/>
          <w:szCs w:val="24"/>
        </w:rPr>
      </w:pPr>
      <w:r w:rsidRPr="008D4BC2">
        <w:rPr>
          <w:rFonts w:ascii="Garamond" w:eastAsiaTheme="minorEastAsia" w:hAnsi="Garamond" w:cs="Times New Roman"/>
          <w:sz w:val="24"/>
          <w:szCs w:val="24"/>
        </w:rPr>
        <w:t>A</w:t>
      </w:r>
      <w:r w:rsidR="0078174B" w:rsidRPr="008D4BC2">
        <w:rPr>
          <w:rFonts w:ascii="Garamond" w:eastAsiaTheme="minorEastAsia" w:hAnsi="Garamond" w:cs="Times New Roman"/>
          <w:sz w:val="24"/>
          <w:szCs w:val="24"/>
        </w:rPr>
        <w:t xml:space="preserve">ny and all direct assessment data </w:t>
      </w:r>
      <w:r w:rsidR="009C1945" w:rsidRPr="008D4BC2">
        <w:rPr>
          <w:rFonts w:ascii="Garamond" w:eastAsiaTheme="minorEastAsia" w:hAnsi="Garamond" w:cs="Times New Roman"/>
          <w:sz w:val="24"/>
          <w:szCs w:val="24"/>
        </w:rPr>
        <w:t>collected</w:t>
      </w:r>
      <w:r w:rsidR="0078174B" w:rsidRPr="008D4BC2">
        <w:rPr>
          <w:rFonts w:ascii="Garamond" w:eastAsiaTheme="minorEastAsia" w:hAnsi="Garamond" w:cs="Times New Roman"/>
          <w:sz w:val="24"/>
          <w:szCs w:val="24"/>
        </w:rPr>
        <w:t xml:space="preserve"> </w:t>
      </w:r>
      <w:r w:rsidR="003F2C96" w:rsidRPr="008D4BC2">
        <w:rPr>
          <w:rFonts w:ascii="Garamond" w:eastAsiaTheme="minorEastAsia" w:hAnsi="Garamond" w:cs="Times New Roman"/>
          <w:sz w:val="24"/>
          <w:szCs w:val="24"/>
        </w:rPr>
        <w:t xml:space="preserve">in connection with </w:t>
      </w:r>
      <w:r w:rsidR="00B71E5E" w:rsidRPr="008D4BC2">
        <w:rPr>
          <w:rFonts w:ascii="Garamond" w:eastAsiaTheme="minorEastAsia" w:hAnsi="Garamond" w:cs="Times New Roman"/>
          <w:sz w:val="24"/>
          <w:szCs w:val="24"/>
        </w:rPr>
        <w:t xml:space="preserve">the 2016-17 pilot program of </w:t>
      </w:r>
      <w:r w:rsidR="003F2C96" w:rsidRPr="008D4BC2">
        <w:rPr>
          <w:rFonts w:ascii="Garamond" w:eastAsiaTheme="minorEastAsia" w:hAnsi="Garamond" w:cs="Times New Roman"/>
          <w:sz w:val="24"/>
          <w:szCs w:val="24"/>
        </w:rPr>
        <w:t xml:space="preserve">instructor scoring of </w:t>
      </w:r>
      <w:r w:rsidR="00B71E5E" w:rsidRPr="008D4BC2">
        <w:rPr>
          <w:rFonts w:ascii="Garamond" w:eastAsiaTheme="minorEastAsia" w:hAnsi="Garamond" w:cs="Times New Roman"/>
          <w:sz w:val="24"/>
          <w:szCs w:val="24"/>
        </w:rPr>
        <w:t>General Education Signature A</w:t>
      </w:r>
      <w:r w:rsidR="003F2C96" w:rsidRPr="008D4BC2">
        <w:rPr>
          <w:rFonts w:ascii="Garamond" w:eastAsiaTheme="minorEastAsia" w:hAnsi="Garamond" w:cs="Times New Roman"/>
          <w:sz w:val="24"/>
          <w:szCs w:val="24"/>
        </w:rPr>
        <w:t xml:space="preserve">ssignments </w:t>
      </w:r>
      <w:r w:rsidR="0078174B" w:rsidRPr="008D4BC2">
        <w:rPr>
          <w:rFonts w:ascii="Garamond" w:eastAsiaTheme="minorEastAsia" w:hAnsi="Garamond" w:cs="Times New Roman"/>
          <w:sz w:val="24"/>
          <w:szCs w:val="24"/>
        </w:rPr>
        <w:t>will not be made available to individuals who are in a position to make or influence personnel decisions about in</w:t>
      </w:r>
      <w:r w:rsidR="00991804" w:rsidRPr="008D4BC2">
        <w:rPr>
          <w:rFonts w:ascii="Garamond" w:eastAsiaTheme="minorEastAsia" w:hAnsi="Garamond" w:cs="Times New Roman"/>
          <w:sz w:val="24"/>
          <w:szCs w:val="24"/>
        </w:rPr>
        <w:t>dividual faculty participants. Furthermore, o</w:t>
      </w:r>
      <w:r w:rsidR="0078174B" w:rsidRPr="008D4BC2">
        <w:rPr>
          <w:rFonts w:ascii="Garamond" w:eastAsiaTheme="minorEastAsia" w:hAnsi="Garamond" w:cs="Times New Roman"/>
          <w:sz w:val="24"/>
          <w:szCs w:val="24"/>
        </w:rPr>
        <w:t xml:space="preserve">nly aggregate data, with no cells small enough to identify individual faculty participants, will be shared </w:t>
      </w:r>
      <w:r w:rsidR="00991804" w:rsidRPr="008D4BC2">
        <w:rPr>
          <w:rFonts w:ascii="Garamond" w:eastAsiaTheme="minorEastAsia" w:hAnsi="Garamond" w:cs="Times New Roman"/>
          <w:sz w:val="24"/>
          <w:szCs w:val="24"/>
        </w:rPr>
        <w:t>publicly</w:t>
      </w:r>
      <w:r w:rsidR="00642AA5" w:rsidRPr="008D4BC2">
        <w:rPr>
          <w:rFonts w:ascii="Garamond" w:eastAsiaTheme="minorEastAsia" w:hAnsi="Garamond" w:cs="Times New Roman"/>
          <w:sz w:val="24"/>
          <w:szCs w:val="24"/>
        </w:rPr>
        <w:t xml:space="preserve">, </w:t>
      </w:r>
      <w:r w:rsidR="00AC3256" w:rsidRPr="008D4BC2">
        <w:rPr>
          <w:rFonts w:ascii="Garamond" w:eastAsiaTheme="minorEastAsia" w:hAnsi="Garamond" w:cs="Times New Roman"/>
          <w:sz w:val="24"/>
          <w:szCs w:val="24"/>
        </w:rPr>
        <w:t xml:space="preserve">with the exception of </w:t>
      </w:r>
      <w:r w:rsidR="00642AA5" w:rsidRPr="008D4BC2">
        <w:rPr>
          <w:rFonts w:ascii="Garamond" w:eastAsiaTheme="minorEastAsia" w:hAnsi="Garamond" w:cs="Times New Roman"/>
          <w:sz w:val="24"/>
          <w:szCs w:val="24"/>
        </w:rPr>
        <w:t>disaggregated data for specific course section</w:t>
      </w:r>
      <w:r w:rsidRPr="008D4BC2">
        <w:rPr>
          <w:rFonts w:ascii="Garamond" w:eastAsiaTheme="minorEastAsia" w:hAnsi="Garamond" w:cs="Times New Roman"/>
          <w:sz w:val="24"/>
          <w:szCs w:val="24"/>
        </w:rPr>
        <w:t>s</w:t>
      </w:r>
      <w:r w:rsidR="00642AA5" w:rsidRPr="008D4BC2">
        <w:rPr>
          <w:rFonts w:ascii="Garamond" w:eastAsiaTheme="minorEastAsia" w:hAnsi="Garamond" w:cs="Times New Roman"/>
          <w:sz w:val="24"/>
          <w:szCs w:val="24"/>
        </w:rPr>
        <w:t xml:space="preserve"> being shared </w:t>
      </w:r>
      <w:r w:rsidR="003D3593" w:rsidRPr="008D4BC2">
        <w:rPr>
          <w:rFonts w:ascii="Garamond" w:eastAsiaTheme="minorEastAsia" w:hAnsi="Garamond" w:cs="Times New Roman"/>
          <w:sz w:val="24"/>
          <w:szCs w:val="24"/>
        </w:rPr>
        <w:t xml:space="preserve">exclusively </w:t>
      </w:r>
      <w:r w:rsidR="00642AA5" w:rsidRPr="008D4BC2">
        <w:rPr>
          <w:rFonts w:ascii="Garamond" w:eastAsiaTheme="minorEastAsia" w:hAnsi="Garamond" w:cs="Times New Roman"/>
          <w:sz w:val="24"/>
          <w:szCs w:val="24"/>
        </w:rPr>
        <w:t>with instructor</w:t>
      </w:r>
      <w:r w:rsidRPr="008D4BC2">
        <w:rPr>
          <w:rFonts w:ascii="Garamond" w:eastAsiaTheme="minorEastAsia" w:hAnsi="Garamond" w:cs="Times New Roman"/>
          <w:sz w:val="24"/>
          <w:szCs w:val="24"/>
        </w:rPr>
        <w:t>s</w:t>
      </w:r>
      <w:r w:rsidR="00642AA5" w:rsidRPr="008D4BC2">
        <w:rPr>
          <w:rFonts w:ascii="Garamond" w:eastAsiaTheme="minorEastAsia" w:hAnsi="Garamond" w:cs="Times New Roman"/>
          <w:sz w:val="24"/>
          <w:szCs w:val="24"/>
        </w:rPr>
        <w:t xml:space="preserve"> of </w:t>
      </w:r>
      <w:r w:rsidRPr="008D4BC2">
        <w:rPr>
          <w:rFonts w:ascii="Garamond" w:eastAsiaTheme="minorEastAsia" w:hAnsi="Garamond" w:cs="Times New Roman"/>
          <w:sz w:val="24"/>
          <w:szCs w:val="24"/>
        </w:rPr>
        <w:t xml:space="preserve">those </w:t>
      </w:r>
      <w:r w:rsidR="00E446F4" w:rsidRPr="008D4BC2">
        <w:rPr>
          <w:rFonts w:ascii="Garamond" w:eastAsiaTheme="minorEastAsia" w:hAnsi="Garamond" w:cs="Times New Roman"/>
          <w:sz w:val="24"/>
          <w:szCs w:val="24"/>
        </w:rPr>
        <w:t xml:space="preserve">specific </w:t>
      </w:r>
      <w:r w:rsidR="00642AA5" w:rsidRPr="008D4BC2">
        <w:rPr>
          <w:rFonts w:ascii="Garamond" w:eastAsiaTheme="minorEastAsia" w:hAnsi="Garamond" w:cs="Times New Roman"/>
          <w:sz w:val="24"/>
          <w:szCs w:val="24"/>
        </w:rPr>
        <w:t>course section</w:t>
      </w:r>
      <w:r w:rsidRPr="008D4BC2">
        <w:rPr>
          <w:rFonts w:ascii="Garamond" w:eastAsiaTheme="minorEastAsia" w:hAnsi="Garamond" w:cs="Times New Roman"/>
          <w:sz w:val="24"/>
          <w:szCs w:val="24"/>
        </w:rPr>
        <w:t>s</w:t>
      </w:r>
      <w:r w:rsidR="0078174B" w:rsidRPr="008D4BC2">
        <w:rPr>
          <w:rFonts w:ascii="Garamond" w:eastAsiaTheme="minorEastAsia" w:hAnsi="Garamond" w:cs="Times New Roman"/>
          <w:sz w:val="24"/>
          <w:szCs w:val="24"/>
        </w:rPr>
        <w:t xml:space="preserve">. </w:t>
      </w:r>
    </w:p>
    <w:p w:rsidR="002C0A7A" w:rsidRPr="00BF2B4A" w:rsidRDefault="002C0A7A" w:rsidP="00F10556">
      <w:pPr>
        <w:pStyle w:val="TableParagraph"/>
        <w:ind w:right="38"/>
        <w:rPr>
          <w:rFonts w:ascii="Garamond" w:hAnsi="Garamond" w:cs="Times New Roman"/>
          <w:color w:val="1E1916"/>
          <w:sz w:val="24"/>
          <w:szCs w:val="24"/>
        </w:rPr>
      </w:pPr>
    </w:p>
    <w:p w:rsidR="00F10556" w:rsidRPr="00BF2B4A" w:rsidRDefault="00C6533F" w:rsidP="00F10556">
      <w:pPr>
        <w:pStyle w:val="TableParagraph"/>
        <w:ind w:right="38"/>
        <w:rPr>
          <w:rFonts w:ascii="Garamond" w:hAnsi="Garamond" w:cs="Times New Roman"/>
          <w:color w:val="1E1916"/>
          <w:sz w:val="24"/>
          <w:szCs w:val="24"/>
        </w:rPr>
      </w:pPr>
      <w:r w:rsidRPr="00BF2B4A">
        <w:rPr>
          <w:rFonts w:ascii="Garamond" w:hAnsi="Garamond" w:cs="Times New Roman"/>
          <w:color w:val="1E1916"/>
          <w:sz w:val="24"/>
          <w:szCs w:val="24"/>
        </w:rPr>
        <w:t xml:space="preserve">As the </w:t>
      </w:r>
      <w:r w:rsidR="00243E99">
        <w:rPr>
          <w:rFonts w:ascii="Garamond" w:hAnsi="Garamond" w:cs="Times New Roman"/>
          <w:color w:val="1E1916"/>
          <w:sz w:val="24"/>
          <w:szCs w:val="24"/>
        </w:rPr>
        <w:t>specified above</w:t>
      </w:r>
      <w:r w:rsidRPr="00BF2B4A">
        <w:rPr>
          <w:rFonts w:ascii="Garamond" w:hAnsi="Garamond" w:cs="Times New Roman"/>
          <w:color w:val="1E1916"/>
          <w:sz w:val="24"/>
          <w:szCs w:val="24"/>
        </w:rPr>
        <w:t>, i</w:t>
      </w:r>
      <w:r w:rsidR="00F10556" w:rsidRPr="00BF2B4A">
        <w:rPr>
          <w:rFonts w:ascii="Garamond" w:hAnsi="Garamond" w:cs="Times New Roman"/>
          <w:color w:val="1E1916"/>
          <w:sz w:val="24"/>
          <w:szCs w:val="24"/>
        </w:rPr>
        <w:t xml:space="preserve">ndividual reports </w:t>
      </w:r>
      <w:r w:rsidR="003720B7" w:rsidRPr="00BF2B4A">
        <w:rPr>
          <w:rFonts w:ascii="Garamond" w:hAnsi="Garamond" w:cs="Times New Roman"/>
          <w:color w:val="1E1916"/>
          <w:sz w:val="24"/>
          <w:szCs w:val="24"/>
        </w:rPr>
        <w:t xml:space="preserve">will </w:t>
      </w:r>
      <w:r w:rsidR="00F10556" w:rsidRPr="00BF2B4A">
        <w:rPr>
          <w:rFonts w:ascii="Garamond" w:hAnsi="Garamond" w:cs="Times New Roman"/>
          <w:color w:val="1E1916"/>
          <w:sz w:val="24"/>
          <w:szCs w:val="24"/>
        </w:rPr>
        <w:t xml:space="preserve">be </w:t>
      </w:r>
      <w:r w:rsidRPr="00BF2B4A">
        <w:rPr>
          <w:rFonts w:ascii="Garamond" w:hAnsi="Garamond" w:cs="Times New Roman"/>
          <w:color w:val="1E1916"/>
          <w:sz w:val="24"/>
          <w:szCs w:val="24"/>
        </w:rPr>
        <w:t xml:space="preserve">shared with </w:t>
      </w:r>
      <w:r w:rsidR="00F10556" w:rsidRPr="00BF2B4A">
        <w:rPr>
          <w:rFonts w:ascii="Garamond" w:hAnsi="Garamond" w:cs="Times New Roman"/>
          <w:color w:val="1E1916"/>
          <w:sz w:val="24"/>
          <w:szCs w:val="24"/>
        </w:rPr>
        <w:t xml:space="preserve">faculty on their own students’ results, which will make it possible for those results to guide faculty responses to their students’ performance from semester to semester. This level of feedback is not possible in the first phase of the assessment plan, during which no data is </w:t>
      </w:r>
      <w:r w:rsidR="00847FA3" w:rsidRPr="00BF2B4A">
        <w:rPr>
          <w:rFonts w:ascii="Garamond" w:hAnsi="Garamond" w:cs="Times New Roman"/>
          <w:color w:val="1E1916"/>
          <w:sz w:val="24"/>
          <w:szCs w:val="24"/>
        </w:rPr>
        <w:t xml:space="preserve">currently </w:t>
      </w:r>
      <w:r w:rsidR="00F10556" w:rsidRPr="00BF2B4A">
        <w:rPr>
          <w:rFonts w:ascii="Garamond" w:hAnsi="Garamond" w:cs="Times New Roman"/>
          <w:color w:val="1E1916"/>
          <w:sz w:val="24"/>
          <w:szCs w:val="24"/>
        </w:rPr>
        <w:t xml:space="preserve">available on individual student </w:t>
      </w:r>
      <w:r w:rsidR="002928A0" w:rsidRPr="00BF2B4A">
        <w:rPr>
          <w:rFonts w:ascii="Garamond" w:hAnsi="Garamond" w:cs="Times New Roman"/>
          <w:color w:val="1E1916"/>
          <w:sz w:val="24"/>
          <w:szCs w:val="24"/>
        </w:rPr>
        <w:t xml:space="preserve">or course section </w:t>
      </w:r>
      <w:r w:rsidR="00F10556" w:rsidRPr="00BF2B4A">
        <w:rPr>
          <w:rFonts w:ascii="Garamond" w:hAnsi="Garamond" w:cs="Times New Roman"/>
          <w:color w:val="1E1916"/>
          <w:sz w:val="24"/>
          <w:szCs w:val="24"/>
        </w:rPr>
        <w:t xml:space="preserve">performance. </w:t>
      </w:r>
    </w:p>
    <w:p w:rsidR="00F10556" w:rsidRPr="00BF2B4A" w:rsidRDefault="00F10556" w:rsidP="00F10556">
      <w:pPr>
        <w:pStyle w:val="TableParagraph"/>
        <w:ind w:right="38"/>
        <w:rPr>
          <w:rFonts w:ascii="Garamond" w:hAnsi="Garamond" w:cs="Times New Roman"/>
          <w:color w:val="1E1916"/>
          <w:sz w:val="24"/>
          <w:szCs w:val="24"/>
        </w:rPr>
      </w:pPr>
    </w:p>
    <w:p w:rsidR="00F872E1" w:rsidRPr="00BF2B4A" w:rsidRDefault="00691CA8" w:rsidP="00F10556">
      <w:pPr>
        <w:pStyle w:val="TableParagraph"/>
        <w:ind w:right="38"/>
        <w:rPr>
          <w:rFonts w:ascii="Garamond" w:eastAsiaTheme="minorEastAsia" w:hAnsi="Garamond" w:cs="Times New Roman"/>
          <w:sz w:val="24"/>
          <w:szCs w:val="24"/>
        </w:rPr>
      </w:pPr>
      <w:r w:rsidRPr="00BF2B4A">
        <w:rPr>
          <w:rFonts w:ascii="Garamond" w:eastAsiaTheme="minorEastAsia" w:hAnsi="Garamond" w:cs="Times New Roman"/>
          <w:sz w:val="24"/>
          <w:szCs w:val="24"/>
        </w:rPr>
        <w:t>In addition, t</w:t>
      </w:r>
      <w:r w:rsidR="00F10556" w:rsidRPr="00BF2B4A">
        <w:rPr>
          <w:rFonts w:ascii="Garamond" w:eastAsiaTheme="minorEastAsia" w:hAnsi="Garamond" w:cs="Times New Roman"/>
          <w:sz w:val="24"/>
          <w:szCs w:val="24"/>
        </w:rPr>
        <w:t xml:space="preserve">he Director of General Education has consulted with the Provost and Dean of Arts and Sciences, both of whom have agreed that </w:t>
      </w:r>
      <w:r w:rsidR="00F10556" w:rsidRPr="00BF2B4A">
        <w:rPr>
          <w:rFonts w:ascii="Garamond" w:eastAsiaTheme="minorEastAsia" w:hAnsi="Garamond" w:cs="Times New Roman"/>
          <w:b/>
          <w:sz w:val="24"/>
          <w:szCs w:val="24"/>
        </w:rPr>
        <w:t>data resulting from the direct assessment of student learning in General Education will not be used to evaluate faculty teaching performance. </w:t>
      </w:r>
      <w:r w:rsidR="00351567" w:rsidRPr="00BF2B4A">
        <w:rPr>
          <w:rFonts w:ascii="Garamond" w:eastAsiaTheme="minorEastAsia" w:hAnsi="Garamond" w:cs="Times New Roman"/>
          <w:sz w:val="24"/>
          <w:szCs w:val="24"/>
        </w:rPr>
        <w:t>The purpose of assessment is to inform faculty development initiatives, improve curriculum and instruction, and enhance student success</w:t>
      </w:r>
      <w:r w:rsidR="00F872E1" w:rsidRPr="00BF2B4A">
        <w:rPr>
          <w:rFonts w:ascii="Garamond" w:eastAsiaTheme="minorEastAsia" w:hAnsi="Garamond" w:cs="Times New Roman"/>
          <w:sz w:val="24"/>
          <w:szCs w:val="24"/>
        </w:rPr>
        <w:t xml:space="preserve"> in addition to providing data on programmatic success</w:t>
      </w:r>
      <w:r w:rsidR="00351567" w:rsidRPr="00BF2B4A">
        <w:rPr>
          <w:rFonts w:ascii="Garamond" w:eastAsiaTheme="minorEastAsia" w:hAnsi="Garamond" w:cs="Times New Roman"/>
          <w:sz w:val="24"/>
          <w:szCs w:val="24"/>
        </w:rPr>
        <w:t xml:space="preserve">. </w:t>
      </w:r>
    </w:p>
    <w:p w:rsidR="005C7B6E" w:rsidRPr="00BF2B4A" w:rsidRDefault="005C7B6E" w:rsidP="005C7B6E">
      <w:pPr>
        <w:pStyle w:val="TableParagraph"/>
        <w:ind w:right="38"/>
        <w:rPr>
          <w:rFonts w:ascii="Garamond" w:eastAsiaTheme="minorEastAsia" w:hAnsi="Garamond" w:cs="Times New Roman"/>
          <w:sz w:val="24"/>
          <w:szCs w:val="24"/>
        </w:rPr>
      </w:pPr>
    </w:p>
    <w:p w:rsidR="0001043C" w:rsidRPr="00BF2B4A" w:rsidRDefault="004F73B9" w:rsidP="00F10556">
      <w:pPr>
        <w:pStyle w:val="TableParagraph"/>
        <w:ind w:right="38"/>
        <w:rPr>
          <w:rFonts w:ascii="Garamond" w:eastAsiaTheme="minorEastAsia" w:hAnsi="Garamond" w:cs="Times New Roman"/>
          <w:sz w:val="24"/>
          <w:szCs w:val="24"/>
        </w:rPr>
      </w:pPr>
      <w:r>
        <w:rPr>
          <w:rFonts w:ascii="Garamond" w:eastAsiaTheme="minorEastAsia" w:hAnsi="Garamond" w:cs="Times New Roman"/>
          <w:sz w:val="24"/>
          <w:szCs w:val="24"/>
        </w:rPr>
        <w:t>I</w:t>
      </w:r>
      <w:r w:rsidR="00F10556" w:rsidRPr="00BF2B4A">
        <w:rPr>
          <w:rFonts w:ascii="Garamond" w:eastAsiaTheme="minorEastAsia" w:hAnsi="Garamond" w:cs="Times New Roman"/>
          <w:sz w:val="24"/>
          <w:szCs w:val="24"/>
        </w:rPr>
        <w:t xml:space="preserve">nstructors </w:t>
      </w:r>
      <w:r>
        <w:rPr>
          <w:rFonts w:ascii="Garamond" w:eastAsiaTheme="minorEastAsia" w:hAnsi="Garamond" w:cs="Times New Roman"/>
          <w:sz w:val="24"/>
          <w:szCs w:val="24"/>
        </w:rPr>
        <w:t xml:space="preserve">should </w:t>
      </w:r>
      <w:r w:rsidR="00F10556" w:rsidRPr="00BF2B4A">
        <w:rPr>
          <w:rFonts w:ascii="Garamond" w:eastAsiaTheme="minorEastAsia" w:hAnsi="Garamond" w:cs="Times New Roman"/>
          <w:sz w:val="24"/>
          <w:szCs w:val="24"/>
        </w:rPr>
        <w:t xml:space="preserve">feel comfortable getting involved in a process meant to improve teaching and learning and support their students’ success. The point is to find out how our students are doing and to help them do better, not to evaluate instructors. Instructors </w:t>
      </w:r>
      <w:r w:rsidR="0001043C" w:rsidRPr="00BF2B4A">
        <w:rPr>
          <w:rFonts w:ascii="Garamond" w:eastAsiaTheme="minorEastAsia" w:hAnsi="Garamond" w:cs="Times New Roman"/>
          <w:sz w:val="24"/>
          <w:szCs w:val="24"/>
        </w:rPr>
        <w:t xml:space="preserve">need to </w:t>
      </w:r>
      <w:r w:rsidR="00F10556" w:rsidRPr="00BF2B4A">
        <w:rPr>
          <w:rFonts w:ascii="Garamond" w:eastAsiaTheme="minorEastAsia" w:hAnsi="Garamond" w:cs="Times New Roman"/>
          <w:sz w:val="24"/>
          <w:szCs w:val="24"/>
        </w:rPr>
        <w:t xml:space="preserve">trust that their </w:t>
      </w:r>
      <w:r>
        <w:rPr>
          <w:rFonts w:ascii="Garamond" w:eastAsiaTheme="minorEastAsia" w:hAnsi="Garamond" w:cs="Times New Roman"/>
          <w:sz w:val="24"/>
          <w:szCs w:val="24"/>
        </w:rPr>
        <w:t xml:space="preserve">voluntary and </w:t>
      </w:r>
      <w:r w:rsidR="00F10556" w:rsidRPr="00BF2B4A">
        <w:rPr>
          <w:rFonts w:ascii="Garamond" w:eastAsiaTheme="minorEastAsia" w:hAnsi="Garamond" w:cs="Times New Roman"/>
          <w:sz w:val="24"/>
          <w:szCs w:val="24"/>
        </w:rPr>
        <w:t xml:space="preserve">honest evaluation of student performance will not be used against them—or they won’t participate honestly. </w:t>
      </w:r>
    </w:p>
    <w:p w:rsidR="0001043C" w:rsidRPr="00BF2B4A" w:rsidRDefault="0001043C" w:rsidP="00F10556">
      <w:pPr>
        <w:pStyle w:val="TableParagraph"/>
        <w:ind w:right="38"/>
        <w:rPr>
          <w:rFonts w:ascii="Garamond" w:eastAsiaTheme="minorEastAsia" w:hAnsi="Garamond" w:cs="Times New Roman"/>
          <w:sz w:val="24"/>
          <w:szCs w:val="24"/>
        </w:rPr>
      </w:pPr>
    </w:p>
    <w:p w:rsidR="00F10556" w:rsidRPr="00BF2B4A" w:rsidRDefault="00F10556" w:rsidP="00F10556">
      <w:pPr>
        <w:pStyle w:val="TableParagraph"/>
        <w:ind w:right="38"/>
        <w:rPr>
          <w:rFonts w:ascii="Garamond" w:eastAsiaTheme="minorEastAsia" w:hAnsi="Garamond" w:cs="Times New Roman"/>
          <w:sz w:val="24"/>
          <w:szCs w:val="24"/>
        </w:rPr>
      </w:pPr>
      <w:r w:rsidRPr="00BF2B4A">
        <w:rPr>
          <w:rFonts w:ascii="Garamond" w:eastAsiaTheme="minorEastAsia" w:hAnsi="Garamond" w:cs="Times New Roman"/>
          <w:sz w:val="24"/>
          <w:szCs w:val="24"/>
        </w:rPr>
        <w:t xml:space="preserve">Faculty participation in the assessment of student learning </w:t>
      </w:r>
      <w:r w:rsidR="00BB2FE2" w:rsidRPr="00BF2B4A">
        <w:rPr>
          <w:rFonts w:ascii="Garamond" w:eastAsiaTheme="minorEastAsia" w:hAnsi="Garamond" w:cs="Times New Roman"/>
          <w:sz w:val="24"/>
          <w:szCs w:val="24"/>
        </w:rPr>
        <w:t xml:space="preserve">should </w:t>
      </w:r>
      <w:r w:rsidR="0001043C" w:rsidRPr="00BF2B4A">
        <w:rPr>
          <w:rFonts w:ascii="Garamond" w:eastAsiaTheme="minorEastAsia" w:hAnsi="Garamond" w:cs="Times New Roman"/>
          <w:sz w:val="24"/>
          <w:szCs w:val="24"/>
        </w:rPr>
        <w:t xml:space="preserve">also </w:t>
      </w:r>
      <w:r w:rsidRPr="00BF2B4A">
        <w:rPr>
          <w:rFonts w:ascii="Garamond" w:eastAsiaTheme="minorEastAsia" w:hAnsi="Garamond" w:cs="Times New Roman"/>
          <w:sz w:val="24"/>
          <w:szCs w:val="24"/>
        </w:rPr>
        <w:t xml:space="preserve">be understood as voluntary </w:t>
      </w:r>
      <w:r w:rsidR="00BB2FE2" w:rsidRPr="00BF2B4A">
        <w:rPr>
          <w:rFonts w:ascii="Garamond" w:eastAsiaTheme="minorEastAsia" w:hAnsi="Garamond" w:cs="Times New Roman"/>
          <w:sz w:val="24"/>
          <w:szCs w:val="24"/>
        </w:rPr>
        <w:t>to ensure its usefulness</w:t>
      </w:r>
      <w:r w:rsidRPr="00BF2B4A">
        <w:rPr>
          <w:rFonts w:ascii="Garamond" w:eastAsiaTheme="minorEastAsia" w:hAnsi="Garamond" w:cs="Times New Roman"/>
          <w:sz w:val="24"/>
          <w:szCs w:val="24"/>
        </w:rPr>
        <w:t xml:space="preserve">. </w:t>
      </w:r>
      <w:r w:rsidRPr="00BF2B4A">
        <w:rPr>
          <w:rFonts w:ascii="Garamond" w:eastAsiaTheme="minorEastAsia" w:hAnsi="Garamond" w:cs="Times New Roman"/>
          <w:b/>
          <w:sz w:val="24"/>
          <w:szCs w:val="24"/>
        </w:rPr>
        <w:t xml:space="preserve">Gen Ed faculty will be </w:t>
      </w:r>
      <w:r w:rsidRPr="00BF2B4A">
        <w:rPr>
          <w:rFonts w:ascii="Garamond" w:eastAsiaTheme="minorEastAsia" w:hAnsi="Garamond" w:cs="Times New Roman"/>
          <w:b/>
          <w:i/>
          <w:sz w:val="24"/>
          <w:szCs w:val="24"/>
        </w:rPr>
        <w:t xml:space="preserve">asked </w:t>
      </w:r>
      <w:r w:rsidR="005E44FF" w:rsidRPr="00BF2B4A">
        <w:rPr>
          <w:rFonts w:ascii="Garamond" w:eastAsiaTheme="minorEastAsia" w:hAnsi="Garamond" w:cs="Times New Roman"/>
          <w:b/>
          <w:i/>
          <w:sz w:val="24"/>
          <w:szCs w:val="24"/>
        </w:rPr>
        <w:t xml:space="preserve">and encouraged </w:t>
      </w:r>
      <w:r w:rsidRPr="00BF2B4A">
        <w:rPr>
          <w:rFonts w:ascii="Garamond" w:eastAsiaTheme="minorEastAsia" w:hAnsi="Garamond" w:cs="Times New Roman"/>
          <w:b/>
          <w:sz w:val="24"/>
          <w:szCs w:val="24"/>
        </w:rPr>
        <w:t xml:space="preserve">to complete rubrics on student achievement, </w:t>
      </w:r>
      <w:r w:rsidRPr="00BF2B4A">
        <w:rPr>
          <w:rFonts w:ascii="Garamond" w:eastAsiaTheme="minorEastAsia" w:hAnsi="Garamond" w:cs="Times New Roman"/>
          <w:b/>
          <w:i/>
          <w:sz w:val="24"/>
          <w:szCs w:val="24"/>
        </w:rPr>
        <w:t xml:space="preserve">not required </w:t>
      </w:r>
      <w:r w:rsidRPr="00BF2B4A">
        <w:rPr>
          <w:rFonts w:ascii="Garamond" w:eastAsiaTheme="minorEastAsia" w:hAnsi="Garamond" w:cs="Times New Roman"/>
          <w:b/>
          <w:sz w:val="24"/>
          <w:szCs w:val="24"/>
        </w:rPr>
        <w:t>to do so</w:t>
      </w:r>
      <w:r w:rsidR="00EE7CE1" w:rsidRPr="00BF2B4A">
        <w:rPr>
          <w:rFonts w:ascii="Garamond" w:eastAsiaTheme="minorEastAsia" w:hAnsi="Garamond" w:cs="Times New Roman"/>
          <w:b/>
          <w:sz w:val="24"/>
          <w:szCs w:val="24"/>
        </w:rPr>
        <w:t>. T</w:t>
      </w:r>
      <w:r w:rsidRPr="00BF2B4A">
        <w:rPr>
          <w:rFonts w:ascii="Garamond" w:eastAsiaTheme="minorEastAsia" w:hAnsi="Garamond" w:cs="Times New Roman"/>
          <w:b/>
          <w:sz w:val="24"/>
          <w:szCs w:val="24"/>
        </w:rPr>
        <w:t xml:space="preserve">o further emphasize that participation is voluntary, their participation, or lack thereof, will not </w:t>
      </w:r>
      <w:r w:rsidR="00887E7C" w:rsidRPr="00BF2B4A">
        <w:rPr>
          <w:rFonts w:ascii="Garamond" w:eastAsiaTheme="minorEastAsia" w:hAnsi="Garamond" w:cs="Times New Roman"/>
          <w:b/>
          <w:sz w:val="24"/>
          <w:szCs w:val="24"/>
        </w:rPr>
        <w:t xml:space="preserve">be reported except in </w:t>
      </w:r>
      <w:r w:rsidR="0001043C" w:rsidRPr="00BF2B4A">
        <w:rPr>
          <w:rFonts w:ascii="Garamond" w:eastAsiaTheme="minorEastAsia" w:hAnsi="Garamond" w:cs="Times New Roman"/>
          <w:b/>
          <w:sz w:val="24"/>
          <w:szCs w:val="24"/>
        </w:rPr>
        <w:t xml:space="preserve">the </w:t>
      </w:r>
      <w:r w:rsidR="00887E7C" w:rsidRPr="00BF2B4A">
        <w:rPr>
          <w:rFonts w:ascii="Garamond" w:eastAsiaTheme="minorEastAsia" w:hAnsi="Garamond" w:cs="Times New Roman"/>
          <w:b/>
          <w:sz w:val="24"/>
          <w:szCs w:val="24"/>
        </w:rPr>
        <w:t>aggregate</w:t>
      </w:r>
      <w:r w:rsidRPr="00BF2B4A">
        <w:rPr>
          <w:rFonts w:ascii="Garamond" w:eastAsiaTheme="minorEastAsia" w:hAnsi="Garamond" w:cs="Times New Roman"/>
          <w:b/>
          <w:sz w:val="24"/>
          <w:szCs w:val="24"/>
        </w:rPr>
        <w:t>.</w:t>
      </w:r>
      <w:r w:rsidRPr="00BF2B4A">
        <w:rPr>
          <w:rFonts w:ascii="Garamond" w:eastAsiaTheme="minorEastAsia" w:hAnsi="Garamond" w:cs="Times New Roman"/>
          <w:sz w:val="24"/>
          <w:szCs w:val="24"/>
        </w:rPr>
        <w:t xml:space="preserve"> </w:t>
      </w:r>
    </w:p>
    <w:p w:rsidR="00F10556" w:rsidRPr="00BF2B4A" w:rsidRDefault="00F10556" w:rsidP="00F10556">
      <w:pPr>
        <w:widowControl w:val="0"/>
        <w:autoSpaceDE w:val="0"/>
        <w:autoSpaceDN w:val="0"/>
        <w:adjustRightInd w:val="0"/>
        <w:rPr>
          <w:rFonts w:eastAsiaTheme="minorEastAsia" w:cs="Garamond"/>
          <w:sz w:val="24"/>
          <w:szCs w:val="24"/>
        </w:rPr>
      </w:pPr>
    </w:p>
    <w:p w:rsidR="00F10556" w:rsidRPr="00BF2B4A" w:rsidRDefault="00C25021" w:rsidP="00F10556">
      <w:pPr>
        <w:widowControl w:val="0"/>
        <w:autoSpaceDE w:val="0"/>
        <w:autoSpaceDN w:val="0"/>
        <w:adjustRightInd w:val="0"/>
        <w:rPr>
          <w:color w:val="1E1916"/>
          <w:sz w:val="24"/>
          <w:szCs w:val="24"/>
        </w:rPr>
      </w:pPr>
      <w:r w:rsidRPr="00BF2B4A">
        <w:rPr>
          <w:rFonts w:eastAsiaTheme="minorEastAsia" w:cs="Times New Roman"/>
          <w:sz w:val="24"/>
          <w:szCs w:val="24"/>
        </w:rPr>
        <w:t>In Fall 2016, f</w:t>
      </w:r>
      <w:r w:rsidR="00F10556" w:rsidRPr="00BF2B4A">
        <w:rPr>
          <w:rFonts w:eastAsiaTheme="minorEastAsia" w:cs="Times New Roman"/>
          <w:sz w:val="24"/>
          <w:szCs w:val="24"/>
        </w:rPr>
        <w:t xml:space="preserve">aculty scoring of signature assignments will parallel the assessment team’s continuing work. This will provide an opportunity to assess the assessment processes </w:t>
      </w:r>
      <w:r w:rsidR="000F1AAD" w:rsidRPr="00BF2B4A">
        <w:rPr>
          <w:rFonts w:eastAsiaTheme="minorEastAsia" w:cs="Times New Roman"/>
          <w:sz w:val="24"/>
          <w:szCs w:val="24"/>
        </w:rPr>
        <w:t xml:space="preserve">to determine </w:t>
      </w:r>
      <w:r w:rsidR="00F10556" w:rsidRPr="00BF2B4A">
        <w:rPr>
          <w:rFonts w:eastAsiaTheme="minorEastAsia" w:cs="Times New Roman"/>
          <w:sz w:val="24"/>
          <w:szCs w:val="24"/>
        </w:rPr>
        <w:t xml:space="preserve">what arrangement </w:t>
      </w:r>
      <w:r w:rsidR="000F1AAD" w:rsidRPr="00BF2B4A">
        <w:rPr>
          <w:rFonts w:eastAsiaTheme="minorEastAsia" w:cs="Times New Roman"/>
          <w:sz w:val="24"/>
          <w:szCs w:val="24"/>
        </w:rPr>
        <w:t>will best meet</w:t>
      </w:r>
      <w:r w:rsidR="00F10556" w:rsidRPr="00BF2B4A">
        <w:rPr>
          <w:rFonts w:eastAsiaTheme="minorEastAsia" w:cs="Times New Roman"/>
          <w:sz w:val="24"/>
          <w:szCs w:val="24"/>
        </w:rPr>
        <w:t xml:space="preserve"> the needs of the program </w:t>
      </w:r>
      <w:r w:rsidR="000F1AAD" w:rsidRPr="00BF2B4A">
        <w:rPr>
          <w:rFonts w:eastAsiaTheme="minorEastAsia" w:cs="Times New Roman"/>
          <w:sz w:val="24"/>
          <w:szCs w:val="24"/>
        </w:rPr>
        <w:t>and support</w:t>
      </w:r>
      <w:r w:rsidR="00F10556" w:rsidRPr="00BF2B4A">
        <w:rPr>
          <w:rFonts w:eastAsiaTheme="minorEastAsia" w:cs="Times New Roman"/>
          <w:sz w:val="24"/>
          <w:szCs w:val="24"/>
        </w:rPr>
        <w:t xml:space="preserve"> student achievement</w:t>
      </w:r>
      <w:r w:rsidR="000F1AAD" w:rsidRPr="00BF2B4A">
        <w:rPr>
          <w:rFonts w:eastAsiaTheme="minorEastAsia" w:cs="Times New Roman"/>
          <w:sz w:val="24"/>
          <w:szCs w:val="24"/>
        </w:rPr>
        <w:t xml:space="preserve"> going forward</w:t>
      </w:r>
      <w:r w:rsidR="00F10556" w:rsidRPr="00BF2B4A">
        <w:rPr>
          <w:rFonts w:eastAsiaTheme="minorEastAsia" w:cs="Times New Roman"/>
          <w:sz w:val="24"/>
          <w:szCs w:val="24"/>
        </w:rPr>
        <w:t xml:space="preserve">. </w:t>
      </w:r>
    </w:p>
    <w:p w:rsidR="00F10556" w:rsidRDefault="00F10556" w:rsidP="00BA79D3">
      <w:pPr>
        <w:widowControl w:val="0"/>
        <w:autoSpaceDE w:val="0"/>
        <w:autoSpaceDN w:val="0"/>
        <w:adjustRightInd w:val="0"/>
        <w:rPr>
          <w:rFonts w:cs="Garamond"/>
        </w:rPr>
      </w:pPr>
    </w:p>
    <w:p w:rsidR="00BA79D3" w:rsidRPr="00BA79D3" w:rsidRDefault="00BA79D3" w:rsidP="00BA79D3">
      <w:pPr>
        <w:rPr>
          <w:b/>
        </w:rPr>
      </w:pPr>
    </w:p>
    <w:sectPr w:rsidR="00BA79D3" w:rsidRPr="00BA79D3" w:rsidSect="009A30AF">
      <w:headerReference w:type="even" r:id="rId7"/>
      <w:headerReference w:type="default" r:id="rId8"/>
      <w:pgSz w:w="12240" w:h="15840"/>
      <w:pgMar w:top="1440" w:right="1656" w:bottom="1440" w:left="165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AB" w:rsidRDefault="00EC7EAB" w:rsidP="004C08BE">
      <w:r>
        <w:separator/>
      </w:r>
    </w:p>
  </w:endnote>
  <w:endnote w:type="continuationSeparator" w:id="0">
    <w:p w:rsidR="00EC7EAB" w:rsidRDefault="00EC7EAB" w:rsidP="004C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AB" w:rsidRDefault="00EC7EAB" w:rsidP="004C08BE">
      <w:r>
        <w:separator/>
      </w:r>
    </w:p>
  </w:footnote>
  <w:footnote w:type="continuationSeparator" w:id="0">
    <w:p w:rsidR="00EC7EAB" w:rsidRDefault="00EC7EAB" w:rsidP="004C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3C" w:rsidRDefault="009D123C" w:rsidP="00461B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123C" w:rsidRDefault="009D123C" w:rsidP="004C08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3C" w:rsidRDefault="009D123C" w:rsidP="00461B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1C6B">
      <w:rPr>
        <w:rStyle w:val="PageNumber"/>
        <w:noProof/>
      </w:rPr>
      <w:t>2</w:t>
    </w:r>
    <w:r>
      <w:rPr>
        <w:rStyle w:val="PageNumber"/>
      </w:rPr>
      <w:fldChar w:fldCharType="end"/>
    </w:r>
  </w:p>
  <w:p w:rsidR="009D123C" w:rsidRDefault="009D123C" w:rsidP="004C08B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C5434"/>
    <w:multiLevelType w:val="hybridMultilevel"/>
    <w:tmpl w:val="4196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D0B86"/>
    <w:multiLevelType w:val="hybridMultilevel"/>
    <w:tmpl w:val="6584F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533D7"/>
    <w:multiLevelType w:val="hybridMultilevel"/>
    <w:tmpl w:val="02BE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AD75CF"/>
    <w:multiLevelType w:val="hybridMultilevel"/>
    <w:tmpl w:val="D64EE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2659B9"/>
    <w:multiLevelType w:val="hybridMultilevel"/>
    <w:tmpl w:val="88605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E0"/>
    <w:rsid w:val="0001043C"/>
    <w:rsid w:val="00016444"/>
    <w:rsid w:val="0002291B"/>
    <w:rsid w:val="00032BC9"/>
    <w:rsid w:val="00033F1C"/>
    <w:rsid w:val="00040EFE"/>
    <w:rsid w:val="00053C05"/>
    <w:rsid w:val="000A0DA4"/>
    <w:rsid w:val="000C187C"/>
    <w:rsid w:val="000C1BA4"/>
    <w:rsid w:val="000C27CA"/>
    <w:rsid w:val="000C425A"/>
    <w:rsid w:val="000D040B"/>
    <w:rsid w:val="000D7FDE"/>
    <w:rsid w:val="000F1AAD"/>
    <w:rsid w:val="000F52F1"/>
    <w:rsid w:val="000F6E08"/>
    <w:rsid w:val="001052A5"/>
    <w:rsid w:val="00143994"/>
    <w:rsid w:val="00145147"/>
    <w:rsid w:val="00147290"/>
    <w:rsid w:val="00165314"/>
    <w:rsid w:val="001701F4"/>
    <w:rsid w:val="001963DB"/>
    <w:rsid w:val="001A16E1"/>
    <w:rsid w:val="001A754C"/>
    <w:rsid w:val="001B0810"/>
    <w:rsid w:val="001C02D2"/>
    <w:rsid w:val="001C4C0A"/>
    <w:rsid w:val="001C65D8"/>
    <w:rsid w:val="001D07BE"/>
    <w:rsid w:val="001D5EF3"/>
    <w:rsid w:val="001E35C5"/>
    <w:rsid w:val="00200561"/>
    <w:rsid w:val="00215DF2"/>
    <w:rsid w:val="002218C4"/>
    <w:rsid w:val="0022699D"/>
    <w:rsid w:val="002278D3"/>
    <w:rsid w:val="00231660"/>
    <w:rsid w:val="002426A4"/>
    <w:rsid w:val="00243E99"/>
    <w:rsid w:val="00250CA3"/>
    <w:rsid w:val="002552E7"/>
    <w:rsid w:val="00267A88"/>
    <w:rsid w:val="00273683"/>
    <w:rsid w:val="002745F4"/>
    <w:rsid w:val="00284F29"/>
    <w:rsid w:val="002928A0"/>
    <w:rsid w:val="00293FDE"/>
    <w:rsid w:val="002B63C4"/>
    <w:rsid w:val="002C0A7A"/>
    <w:rsid w:val="002D2774"/>
    <w:rsid w:val="002D349E"/>
    <w:rsid w:val="002E165B"/>
    <w:rsid w:val="002E7E9E"/>
    <w:rsid w:val="002F2949"/>
    <w:rsid w:val="002F4DE6"/>
    <w:rsid w:val="002F6BB3"/>
    <w:rsid w:val="00302E7C"/>
    <w:rsid w:val="00326B39"/>
    <w:rsid w:val="00331229"/>
    <w:rsid w:val="00333C8A"/>
    <w:rsid w:val="003423C1"/>
    <w:rsid w:val="003448A4"/>
    <w:rsid w:val="00351567"/>
    <w:rsid w:val="00354F07"/>
    <w:rsid w:val="00357BB7"/>
    <w:rsid w:val="0036322E"/>
    <w:rsid w:val="00364BD2"/>
    <w:rsid w:val="00367D73"/>
    <w:rsid w:val="003705D1"/>
    <w:rsid w:val="003720B7"/>
    <w:rsid w:val="003728B0"/>
    <w:rsid w:val="003806FB"/>
    <w:rsid w:val="00391160"/>
    <w:rsid w:val="00391648"/>
    <w:rsid w:val="00392731"/>
    <w:rsid w:val="00395435"/>
    <w:rsid w:val="003B2F88"/>
    <w:rsid w:val="003B5C00"/>
    <w:rsid w:val="003B7486"/>
    <w:rsid w:val="003C70AB"/>
    <w:rsid w:val="003D062A"/>
    <w:rsid w:val="003D2B34"/>
    <w:rsid w:val="003D3593"/>
    <w:rsid w:val="003E12CE"/>
    <w:rsid w:val="003F2C96"/>
    <w:rsid w:val="003F3921"/>
    <w:rsid w:val="003F6AB0"/>
    <w:rsid w:val="00401582"/>
    <w:rsid w:val="0041006C"/>
    <w:rsid w:val="0044051F"/>
    <w:rsid w:val="0044309A"/>
    <w:rsid w:val="00450972"/>
    <w:rsid w:val="00454A5D"/>
    <w:rsid w:val="00461BE0"/>
    <w:rsid w:val="0046505C"/>
    <w:rsid w:val="004652A5"/>
    <w:rsid w:val="00473E2B"/>
    <w:rsid w:val="004755D9"/>
    <w:rsid w:val="004759B1"/>
    <w:rsid w:val="004767B7"/>
    <w:rsid w:val="004803A3"/>
    <w:rsid w:val="004809BE"/>
    <w:rsid w:val="004815F2"/>
    <w:rsid w:val="00487B69"/>
    <w:rsid w:val="004A5B6A"/>
    <w:rsid w:val="004B6647"/>
    <w:rsid w:val="004C08BE"/>
    <w:rsid w:val="004E5297"/>
    <w:rsid w:val="004F73B9"/>
    <w:rsid w:val="004F7DB8"/>
    <w:rsid w:val="005101E6"/>
    <w:rsid w:val="00512361"/>
    <w:rsid w:val="005164F5"/>
    <w:rsid w:val="00522856"/>
    <w:rsid w:val="0053585D"/>
    <w:rsid w:val="00536FED"/>
    <w:rsid w:val="00562F42"/>
    <w:rsid w:val="005638DD"/>
    <w:rsid w:val="00563C9E"/>
    <w:rsid w:val="00571E9F"/>
    <w:rsid w:val="005769AE"/>
    <w:rsid w:val="00585366"/>
    <w:rsid w:val="00585626"/>
    <w:rsid w:val="005A03CD"/>
    <w:rsid w:val="005A3E91"/>
    <w:rsid w:val="005B2735"/>
    <w:rsid w:val="005B5127"/>
    <w:rsid w:val="005B524F"/>
    <w:rsid w:val="005B6948"/>
    <w:rsid w:val="005C498B"/>
    <w:rsid w:val="005C7B6E"/>
    <w:rsid w:val="005E20C0"/>
    <w:rsid w:val="005E44FF"/>
    <w:rsid w:val="0060195A"/>
    <w:rsid w:val="00607BBE"/>
    <w:rsid w:val="00624F96"/>
    <w:rsid w:val="00625A73"/>
    <w:rsid w:val="00642AA5"/>
    <w:rsid w:val="00650E1C"/>
    <w:rsid w:val="006600B5"/>
    <w:rsid w:val="00672E8A"/>
    <w:rsid w:val="00674B14"/>
    <w:rsid w:val="00691CA8"/>
    <w:rsid w:val="006A0EEC"/>
    <w:rsid w:val="006D5567"/>
    <w:rsid w:val="006E4382"/>
    <w:rsid w:val="006F746B"/>
    <w:rsid w:val="007046FC"/>
    <w:rsid w:val="0071643A"/>
    <w:rsid w:val="00723E6C"/>
    <w:rsid w:val="00725E42"/>
    <w:rsid w:val="00727C61"/>
    <w:rsid w:val="007541AD"/>
    <w:rsid w:val="00761349"/>
    <w:rsid w:val="00765446"/>
    <w:rsid w:val="00766057"/>
    <w:rsid w:val="00770AA9"/>
    <w:rsid w:val="00772561"/>
    <w:rsid w:val="00774B96"/>
    <w:rsid w:val="0078174B"/>
    <w:rsid w:val="0078760A"/>
    <w:rsid w:val="00791524"/>
    <w:rsid w:val="0079496C"/>
    <w:rsid w:val="007C77A2"/>
    <w:rsid w:val="007D2BA2"/>
    <w:rsid w:val="007D7E45"/>
    <w:rsid w:val="007E04FD"/>
    <w:rsid w:val="007E43FB"/>
    <w:rsid w:val="007F037D"/>
    <w:rsid w:val="007F3108"/>
    <w:rsid w:val="007F780C"/>
    <w:rsid w:val="007F79E8"/>
    <w:rsid w:val="00800D1B"/>
    <w:rsid w:val="008035F8"/>
    <w:rsid w:val="00810C8F"/>
    <w:rsid w:val="00810CD8"/>
    <w:rsid w:val="00823D60"/>
    <w:rsid w:val="0082647D"/>
    <w:rsid w:val="00833A0F"/>
    <w:rsid w:val="008369EF"/>
    <w:rsid w:val="00837ACB"/>
    <w:rsid w:val="0084118C"/>
    <w:rsid w:val="00845F0E"/>
    <w:rsid w:val="00847FA3"/>
    <w:rsid w:val="008514B4"/>
    <w:rsid w:val="0085333E"/>
    <w:rsid w:val="0086187D"/>
    <w:rsid w:val="00864CC7"/>
    <w:rsid w:val="0087278D"/>
    <w:rsid w:val="008735C9"/>
    <w:rsid w:val="00882D37"/>
    <w:rsid w:val="00886004"/>
    <w:rsid w:val="00887E7C"/>
    <w:rsid w:val="00893F68"/>
    <w:rsid w:val="008A2EDC"/>
    <w:rsid w:val="008A441F"/>
    <w:rsid w:val="008A692D"/>
    <w:rsid w:val="008B1308"/>
    <w:rsid w:val="008C2CE5"/>
    <w:rsid w:val="008C3994"/>
    <w:rsid w:val="008C613B"/>
    <w:rsid w:val="008C6333"/>
    <w:rsid w:val="008C76EC"/>
    <w:rsid w:val="008D4BC2"/>
    <w:rsid w:val="008D67FE"/>
    <w:rsid w:val="008E02E8"/>
    <w:rsid w:val="008F0CAA"/>
    <w:rsid w:val="008F0F11"/>
    <w:rsid w:val="0090535A"/>
    <w:rsid w:val="00910881"/>
    <w:rsid w:val="009222F3"/>
    <w:rsid w:val="00945149"/>
    <w:rsid w:val="00946E98"/>
    <w:rsid w:val="00954643"/>
    <w:rsid w:val="00955AA4"/>
    <w:rsid w:val="00962386"/>
    <w:rsid w:val="009726A2"/>
    <w:rsid w:val="00976F3C"/>
    <w:rsid w:val="009802E2"/>
    <w:rsid w:val="00990DBE"/>
    <w:rsid w:val="00991804"/>
    <w:rsid w:val="0099496D"/>
    <w:rsid w:val="00994AFA"/>
    <w:rsid w:val="009A30AF"/>
    <w:rsid w:val="009B1182"/>
    <w:rsid w:val="009C1945"/>
    <w:rsid w:val="009C36AD"/>
    <w:rsid w:val="009C3823"/>
    <w:rsid w:val="009D123C"/>
    <w:rsid w:val="009D551E"/>
    <w:rsid w:val="009F0758"/>
    <w:rsid w:val="009F4877"/>
    <w:rsid w:val="009F67B9"/>
    <w:rsid w:val="009F76B7"/>
    <w:rsid w:val="00A05C46"/>
    <w:rsid w:val="00A1638F"/>
    <w:rsid w:val="00A3082E"/>
    <w:rsid w:val="00A31A9B"/>
    <w:rsid w:val="00A42284"/>
    <w:rsid w:val="00A870B7"/>
    <w:rsid w:val="00AA6754"/>
    <w:rsid w:val="00AB274F"/>
    <w:rsid w:val="00AC3256"/>
    <w:rsid w:val="00AE12E3"/>
    <w:rsid w:val="00AE485A"/>
    <w:rsid w:val="00AE4E69"/>
    <w:rsid w:val="00AF1FA9"/>
    <w:rsid w:val="00B1010C"/>
    <w:rsid w:val="00B129B8"/>
    <w:rsid w:val="00B13DDB"/>
    <w:rsid w:val="00B26D2A"/>
    <w:rsid w:val="00B3367D"/>
    <w:rsid w:val="00B33F9F"/>
    <w:rsid w:val="00B3593B"/>
    <w:rsid w:val="00B42737"/>
    <w:rsid w:val="00B43612"/>
    <w:rsid w:val="00B4526C"/>
    <w:rsid w:val="00B461AA"/>
    <w:rsid w:val="00B610E4"/>
    <w:rsid w:val="00B66D96"/>
    <w:rsid w:val="00B70055"/>
    <w:rsid w:val="00B7150A"/>
    <w:rsid w:val="00B71787"/>
    <w:rsid w:val="00B71E5E"/>
    <w:rsid w:val="00B732C3"/>
    <w:rsid w:val="00B800B5"/>
    <w:rsid w:val="00B81133"/>
    <w:rsid w:val="00B86134"/>
    <w:rsid w:val="00BA55DB"/>
    <w:rsid w:val="00BA79D3"/>
    <w:rsid w:val="00BB1049"/>
    <w:rsid w:val="00BB25C8"/>
    <w:rsid w:val="00BB2E3E"/>
    <w:rsid w:val="00BB2FE2"/>
    <w:rsid w:val="00BB6817"/>
    <w:rsid w:val="00BE242A"/>
    <w:rsid w:val="00BE4033"/>
    <w:rsid w:val="00BE6432"/>
    <w:rsid w:val="00BE6E48"/>
    <w:rsid w:val="00BF2B4A"/>
    <w:rsid w:val="00BF7F46"/>
    <w:rsid w:val="00C004FE"/>
    <w:rsid w:val="00C01E32"/>
    <w:rsid w:val="00C146BE"/>
    <w:rsid w:val="00C161A0"/>
    <w:rsid w:val="00C25021"/>
    <w:rsid w:val="00C34F2C"/>
    <w:rsid w:val="00C37E74"/>
    <w:rsid w:val="00C41C71"/>
    <w:rsid w:val="00C43230"/>
    <w:rsid w:val="00C52A8D"/>
    <w:rsid w:val="00C6187C"/>
    <w:rsid w:val="00C644E4"/>
    <w:rsid w:val="00C6533F"/>
    <w:rsid w:val="00C77DF1"/>
    <w:rsid w:val="00C83820"/>
    <w:rsid w:val="00C867F4"/>
    <w:rsid w:val="00C92F09"/>
    <w:rsid w:val="00CA653A"/>
    <w:rsid w:val="00CC0D9D"/>
    <w:rsid w:val="00CC53E0"/>
    <w:rsid w:val="00CF7025"/>
    <w:rsid w:val="00D019CF"/>
    <w:rsid w:val="00D03178"/>
    <w:rsid w:val="00D03FF7"/>
    <w:rsid w:val="00D20686"/>
    <w:rsid w:val="00D20735"/>
    <w:rsid w:val="00D223B9"/>
    <w:rsid w:val="00D31383"/>
    <w:rsid w:val="00D3321B"/>
    <w:rsid w:val="00D45C37"/>
    <w:rsid w:val="00D51CC0"/>
    <w:rsid w:val="00D56B14"/>
    <w:rsid w:val="00D63A50"/>
    <w:rsid w:val="00D85664"/>
    <w:rsid w:val="00DA160F"/>
    <w:rsid w:val="00DA4376"/>
    <w:rsid w:val="00DA6C3F"/>
    <w:rsid w:val="00DB1546"/>
    <w:rsid w:val="00DB6FC5"/>
    <w:rsid w:val="00DD55AA"/>
    <w:rsid w:val="00DD5644"/>
    <w:rsid w:val="00DF1017"/>
    <w:rsid w:val="00E01C6B"/>
    <w:rsid w:val="00E1568F"/>
    <w:rsid w:val="00E165D0"/>
    <w:rsid w:val="00E34DB7"/>
    <w:rsid w:val="00E40D81"/>
    <w:rsid w:val="00E41E55"/>
    <w:rsid w:val="00E446F4"/>
    <w:rsid w:val="00E463A0"/>
    <w:rsid w:val="00E5009E"/>
    <w:rsid w:val="00E5293A"/>
    <w:rsid w:val="00E84500"/>
    <w:rsid w:val="00E9341D"/>
    <w:rsid w:val="00EA2451"/>
    <w:rsid w:val="00EA5B87"/>
    <w:rsid w:val="00EB4841"/>
    <w:rsid w:val="00EC6645"/>
    <w:rsid w:val="00EC7EAB"/>
    <w:rsid w:val="00ED11C8"/>
    <w:rsid w:val="00ED6B76"/>
    <w:rsid w:val="00EE1B46"/>
    <w:rsid w:val="00EE4EA4"/>
    <w:rsid w:val="00EE7CE1"/>
    <w:rsid w:val="00F030D4"/>
    <w:rsid w:val="00F055A6"/>
    <w:rsid w:val="00F074BB"/>
    <w:rsid w:val="00F10556"/>
    <w:rsid w:val="00F12050"/>
    <w:rsid w:val="00F1249A"/>
    <w:rsid w:val="00F16A3E"/>
    <w:rsid w:val="00F22CCC"/>
    <w:rsid w:val="00F26511"/>
    <w:rsid w:val="00F279B0"/>
    <w:rsid w:val="00F36494"/>
    <w:rsid w:val="00F40ADE"/>
    <w:rsid w:val="00F542BC"/>
    <w:rsid w:val="00F558A2"/>
    <w:rsid w:val="00F63594"/>
    <w:rsid w:val="00F67DF7"/>
    <w:rsid w:val="00F811C6"/>
    <w:rsid w:val="00F872E1"/>
    <w:rsid w:val="00F87791"/>
    <w:rsid w:val="00FA342D"/>
    <w:rsid w:val="00FA49E7"/>
    <w:rsid w:val="00FC54E2"/>
    <w:rsid w:val="00FC7919"/>
    <w:rsid w:val="00FD12AE"/>
    <w:rsid w:val="00FD2D78"/>
    <w:rsid w:val="00FE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660117"/>
  <w14:defaultImageDpi w14:val="300"/>
  <w15:docId w15:val="{A5F5AEF1-FFE6-4D03-BB28-76F78484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856"/>
    <w:rPr>
      <w:rFonts w:ascii="Lucida Grande" w:eastAsiaTheme="minorHAnsi" w:hAnsi="Lucida Grande" w:cs="Lucida Grande"/>
      <w:sz w:val="18"/>
      <w:szCs w:val="18"/>
    </w:rPr>
  </w:style>
  <w:style w:type="paragraph" w:customStyle="1" w:styleId="TableParagraph">
    <w:name w:val="Table Paragraph"/>
    <w:basedOn w:val="Normal"/>
    <w:uiPriority w:val="1"/>
    <w:qFormat/>
    <w:rsid w:val="00CC53E0"/>
    <w:pPr>
      <w:widowControl w:val="0"/>
    </w:pPr>
    <w:rPr>
      <w:rFonts w:asciiTheme="minorHAnsi" w:hAnsiTheme="minorHAnsi"/>
      <w:lang w:eastAsia="en-US"/>
    </w:rPr>
  </w:style>
  <w:style w:type="paragraph" w:styleId="ListParagraph">
    <w:name w:val="List Paragraph"/>
    <w:basedOn w:val="Normal"/>
    <w:uiPriority w:val="1"/>
    <w:qFormat/>
    <w:rsid w:val="001963DB"/>
    <w:pPr>
      <w:widowControl w:val="0"/>
    </w:pPr>
    <w:rPr>
      <w:rFonts w:asciiTheme="minorHAnsi" w:hAnsiTheme="minorHAnsi"/>
      <w:lang w:eastAsia="en-US"/>
    </w:rPr>
  </w:style>
  <w:style w:type="paragraph" w:customStyle="1" w:styleId="Default">
    <w:name w:val="Default"/>
    <w:rsid w:val="001963DB"/>
    <w:pPr>
      <w:widowControl w:val="0"/>
      <w:autoSpaceDE w:val="0"/>
      <w:autoSpaceDN w:val="0"/>
      <w:adjustRightInd w:val="0"/>
    </w:pPr>
    <w:rPr>
      <w:rFonts w:ascii="Helvetica" w:hAnsi="Helvetica" w:cs="Helvetica"/>
      <w:color w:val="000000"/>
    </w:rPr>
  </w:style>
  <w:style w:type="paragraph" w:styleId="Header">
    <w:name w:val="header"/>
    <w:basedOn w:val="Normal"/>
    <w:link w:val="HeaderChar"/>
    <w:uiPriority w:val="99"/>
    <w:unhideWhenUsed/>
    <w:rsid w:val="004C08BE"/>
    <w:pPr>
      <w:tabs>
        <w:tab w:val="center" w:pos="4320"/>
        <w:tab w:val="right" w:pos="8640"/>
      </w:tabs>
    </w:pPr>
  </w:style>
  <w:style w:type="character" w:customStyle="1" w:styleId="HeaderChar">
    <w:name w:val="Header Char"/>
    <w:basedOn w:val="DefaultParagraphFont"/>
    <w:link w:val="Header"/>
    <w:uiPriority w:val="99"/>
    <w:rsid w:val="004C08BE"/>
    <w:rPr>
      <w:rFonts w:eastAsiaTheme="minorHAnsi"/>
      <w:sz w:val="22"/>
      <w:szCs w:val="22"/>
    </w:rPr>
  </w:style>
  <w:style w:type="character" w:styleId="PageNumber">
    <w:name w:val="page number"/>
    <w:basedOn w:val="DefaultParagraphFont"/>
    <w:uiPriority w:val="99"/>
    <w:semiHidden/>
    <w:unhideWhenUsed/>
    <w:rsid w:val="004C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Fausty</dc:creator>
  <cp:keywords/>
  <dc:description/>
  <cp:lastModifiedBy>Joshua Fausty</cp:lastModifiedBy>
  <cp:revision>3</cp:revision>
  <cp:lastPrinted>2016-10-11T13:11:00Z</cp:lastPrinted>
  <dcterms:created xsi:type="dcterms:W3CDTF">2016-10-11T13:11:00Z</dcterms:created>
  <dcterms:modified xsi:type="dcterms:W3CDTF">2016-10-11T13:11:00Z</dcterms:modified>
</cp:coreProperties>
</file>