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A3" w:rsidRPr="00A10079" w:rsidRDefault="00F91203">
      <w:pPr>
        <w:rPr>
          <w:rFonts w:ascii="Times New Roman" w:hAnsi="Times New Roman" w:cs="Times New Roman"/>
          <w:color w:val="000000" w:themeColor="text1"/>
          <w:sz w:val="24"/>
          <w:szCs w:val="24"/>
        </w:rPr>
      </w:pPr>
      <w:r w:rsidRPr="00A10079">
        <w:rPr>
          <w:rFonts w:ascii="Times New Roman" w:hAnsi="Times New Roman" w:cs="Times New Roman"/>
          <w:noProof/>
          <w:color w:val="000000" w:themeColor="text1"/>
          <w:sz w:val="24"/>
          <w:szCs w:val="24"/>
        </w:rPr>
        <w:drawing>
          <wp:inline distT="0" distB="0" distL="0" distR="0" wp14:anchorId="11BE196F" wp14:editId="44E273B7">
            <wp:extent cx="2138610"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cu-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9962" cy="1809781"/>
                    </a:xfrm>
                    <a:prstGeom prst="rect">
                      <a:avLst/>
                    </a:prstGeom>
                  </pic:spPr>
                </pic:pic>
              </a:graphicData>
            </a:graphic>
          </wp:inline>
        </w:drawing>
      </w:r>
    </w:p>
    <w:p w:rsidR="007239A1" w:rsidRPr="00A10079" w:rsidRDefault="002076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 17, 2018</w:t>
      </w:r>
    </w:p>
    <w:p w:rsidR="007239A1" w:rsidRPr="00A10079" w:rsidRDefault="007239A1" w:rsidP="007239A1">
      <w:pPr>
        <w:spacing w:after="0"/>
        <w:rPr>
          <w:rFonts w:ascii="Times New Roman" w:hAnsi="Times New Roman" w:cs="Times New Roman"/>
          <w:color w:val="000000" w:themeColor="text1"/>
          <w:sz w:val="24"/>
          <w:szCs w:val="24"/>
        </w:rPr>
      </w:pPr>
      <w:r w:rsidRPr="00A10079">
        <w:rPr>
          <w:rFonts w:ascii="Times New Roman" w:hAnsi="Times New Roman" w:cs="Times New Roman"/>
          <w:color w:val="000000" w:themeColor="text1"/>
          <w:sz w:val="24"/>
          <w:szCs w:val="24"/>
        </w:rPr>
        <w:t>Chris Shamburg</w:t>
      </w:r>
    </w:p>
    <w:p w:rsidR="007239A1" w:rsidRPr="00A10079" w:rsidRDefault="007239A1" w:rsidP="007239A1">
      <w:pPr>
        <w:spacing w:after="0"/>
        <w:rPr>
          <w:rFonts w:ascii="Times New Roman" w:hAnsi="Times New Roman" w:cs="Times New Roman"/>
          <w:color w:val="000000" w:themeColor="text1"/>
          <w:sz w:val="24"/>
          <w:szCs w:val="24"/>
        </w:rPr>
      </w:pPr>
      <w:r w:rsidRPr="00A10079">
        <w:rPr>
          <w:rFonts w:ascii="Times New Roman" w:hAnsi="Times New Roman" w:cs="Times New Roman"/>
          <w:color w:val="000000" w:themeColor="text1"/>
          <w:sz w:val="24"/>
          <w:szCs w:val="24"/>
        </w:rPr>
        <w:t xml:space="preserve"> President</w:t>
      </w:r>
    </w:p>
    <w:p w:rsidR="007239A1" w:rsidRPr="00A10079" w:rsidRDefault="00B0463C" w:rsidP="007239A1">
      <w:pPr>
        <w:spacing w:after="0"/>
        <w:rPr>
          <w:rFonts w:ascii="Times New Roman" w:hAnsi="Times New Roman" w:cs="Times New Roman"/>
          <w:color w:val="000000" w:themeColor="text1"/>
          <w:sz w:val="24"/>
          <w:szCs w:val="24"/>
        </w:rPr>
      </w:pPr>
      <w:r w:rsidRPr="00A10079">
        <w:rPr>
          <w:rFonts w:ascii="Times New Roman" w:hAnsi="Times New Roman" w:cs="Times New Roman"/>
          <w:color w:val="000000" w:themeColor="text1"/>
          <w:sz w:val="24"/>
          <w:szCs w:val="24"/>
        </w:rPr>
        <w:t>NJCU Faculty</w:t>
      </w:r>
      <w:r w:rsidR="007239A1" w:rsidRPr="00A10079">
        <w:rPr>
          <w:rFonts w:ascii="Times New Roman" w:hAnsi="Times New Roman" w:cs="Times New Roman"/>
          <w:color w:val="000000" w:themeColor="text1"/>
          <w:sz w:val="24"/>
          <w:szCs w:val="24"/>
        </w:rPr>
        <w:t xml:space="preserve"> Senate</w:t>
      </w:r>
    </w:p>
    <w:p w:rsidR="007239A1" w:rsidRPr="00A10079" w:rsidRDefault="007239A1" w:rsidP="007239A1">
      <w:pPr>
        <w:spacing w:after="0"/>
        <w:rPr>
          <w:rFonts w:ascii="Times New Roman" w:hAnsi="Times New Roman" w:cs="Times New Roman"/>
          <w:color w:val="000000" w:themeColor="text1"/>
          <w:sz w:val="24"/>
          <w:szCs w:val="24"/>
        </w:rPr>
      </w:pPr>
    </w:p>
    <w:p w:rsidR="007239A1" w:rsidRPr="00A10079" w:rsidRDefault="007239A1" w:rsidP="007239A1">
      <w:pPr>
        <w:spacing w:after="0"/>
        <w:rPr>
          <w:rFonts w:ascii="Times New Roman" w:hAnsi="Times New Roman" w:cs="Times New Roman"/>
          <w:color w:val="000000" w:themeColor="text1"/>
          <w:sz w:val="24"/>
          <w:szCs w:val="24"/>
        </w:rPr>
      </w:pPr>
      <w:r w:rsidRPr="00A10079">
        <w:rPr>
          <w:rFonts w:ascii="Times New Roman" w:hAnsi="Times New Roman" w:cs="Times New Roman"/>
          <w:color w:val="000000" w:themeColor="text1"/>
          <w:sz w:val="24"/>
          <w:szCs w:val="24"/>
        </w:rPr>
        <w:t>CC: Donna Piscopo</w:t>
      </w:r>
    </w:p>
    <w:p w:rsidR="007239A1" w:rsidRPr="00A10079" w:rsidRDefault="007239A1" w:rsidP="007239A1">
      <w:pPr>
        <w:spacing w:after="0"/>
        <w:rPr>
          <w:rFonts w:ascii="Times New Roman" w:hAnsi="Times New Roman" w:cs="Times New Roman"/>
          <w:color w:val="000000" w:themeColor="text1"/>
          <w:sz w:val="24"/>
          <w:szCs w:val="24"/>
        </w:rPr>
      </w:pPr>
    </w:p>
    <w:p w:rsidR="007239A1" w:rsidRPr="00A10079" w:rsidRDefault="007239A1" w:rsidP="007239A1">
      <w:pPr>
        <w:spacing w:after="0"/>
        <w:rPr>
          <w:rFonts w:ascii="Times New Roman" w:hAnsi="Times New Roman" w:cs="Times New Roman"/>
          <w:color w:val="000000" w:themeColor="text1"/>
          <w:sz w:val="24"/>
          <w:szCs w:val="24"/>
        </w:rPr>
      </w:pPr>
      <w:r w:rsidRPr="00A10079">
        <w:rPr>
          <w:rFonts w:ascii="Times New Roman" w:hAnsi="Times New Roman" w:cs="Times New Roman"/>
          <w:color w:val="000000" w:themeColor="text1"/>
          <w:sz w:val="24"/>
          <w:szCs w:val="24"/>
        </w:rPr>
        <w:t xml:space="preserve">RE: </w:t>
      </w:r>
      <w:r w:rsidRPr="00A10079">
        <w:rPr>
          <w:rFonts w:ascii="Times New Roman" w:hAnsi="Times New Roman" w:cs="Times New Roman"/>
          <w:b/>
          <w:color w:val="000000" w:themeColor="text1"/>
          <w:sz w:val="24"/>
          <w:szCs w:val="24"/>
          <w:u w:val="single"/>
        </w:rPr>
        <w:t xml:space="preserve">Senate </w:t>
      </w:r>
      <w:r w:rsidR="00B770A3" w:rsidRPr="00A10079">
        <w:rPr>
          <w:rFonts w:ascii="Times New Roman" w:hAnsi="Times New Roman" w:cs="Times New Roman"/>
          <w:b/>
          <w:color w:val="000000" w:themeColor="text1"/>
          <w:sz w:val="24"/>
          <w:szCs w:val="24"/>
          <w:u w:val="single"/>
        </w:rPr>
        <w:t>Academic Standards</w:t>
      </w:r>
      <w:r w:rsidRPr="00A10079">
        <w:rPr>
          <w:rFonts w:ascii="Times New Roman" w:hAnsi="Times New Roman" w:cs="Times New Roman"/>
          <w:b/>
          <w:color w:val="000000" w:themeColor="text1"/>
          <w:sz w:val="24"/>
          <w:szCs w:val="24"/>
          <w:u w:val="single"/>
        </w:rPr>
        <w:t xml:space="preserve"> Committee Report</w:t>
      </w:r>
    </w:p>
    <w:p w:rsidR="007239A1" w:rsidRPr="00A10079" w:rsidRDefault="007239A1" w:rsidP="007239A1">
      <w:pPr>
        <w:spacing w:after="0"/>
        <w:rPr>
          <w:rFonts w:ascii="Times New Roman" w:hAnsi="Times New Roman" w:cs="Times New Roman"/>
          <w:color w:val="000000" w:themeColor="text1"/>
          <w:sz w:val="24"/>
          <w:szCs w:val="24"/>
        </w:rPr>
      </w:pPr>
    </w:p>
    <w:p w:rsidR="002076AC" w:rsidRPr="002076AC" w:rsidRDefault="002076AC" w:rsidP="002076AC">
      <w:pPr>
        <w:spacing w:after="0" w:line="240" w:lineRule="auto"/>
        <w:rPr>
          <w:rFonts w:eastAsiaTheme="minorEastAsia"/>
          <w:sz w:val="24"/>
          <w:szCs w:val="24"/>
        </w:rPr>
      </w:pPr>
      <w:r w:rsidRPr="002076AC">
        <w:rPr>
          <w:rFonts w:eastAsiaTheme="minorEastAsia"/>
          <w:b/>
          <w:bCs/>
          <w:sz w:val="24"/>
          <w:szCs w:val="24"/>
        </w:rPr>
        <w:t>Academic Standards Committee -</w:t>
      </w:r>
      <w:r w:rsidRPr="002076AC">
        <w:rPr>
          <w:rFonts w:eastAsiaTheme="minorEastAsia"/>
          <w:sz w:val="24"/>
          <w:szCs w:val="24"/>
        </w:rPr>
        <w:t xml:space="preserve">Dr. Vanashri Nargund, Chair </w:t>
      </w:r>
    </w:p>
    <w:p w:rsidR="002076AC" w:rsidRPr="002076AC" w:rsidRDefault="002076AC" w:rsidP="002076AC">
      <w:pPr>
        <w:spacing w:after="0" w:line="240" w:lineRule="auto"/>
        <w:rPr>
          <w:rFonts w:eastAsiaTheme="minorEastAsia"/>
          <w:sz w:val="24"/>
          <w:szCs w:val="24"/>
        </w:rPr>
      </w:pPr>
      <w:r w:rsidRPr="002076AC">
        <w:rPr>
          <w:rFonts w:eastAsiaTheme="minorEastAsia"/>
          <w:sz w:val="24"/>
          <w:szCs w:val="24"/>
        </w:rPr>
        <w:t xml:space="preserve">Dr. Vanashri Nargund, Chairperson </w:t>
      </w:r>
    </w:p>
    <w:p w:rsidR="002076AC" w:rsidRPr="002076AC" w:rsidRDefault="002076AC" w:rsidP="002076AC">
      <w:pPr>
        <w:spacing w:after="0" w:line="240" w:lineRule="auto"/>
        <w:rPr>
          <w:rFonts w:eastAsiaTheme="minorEastAsia"/>
          <w:sz w:val="24"/>
          <w:szCs w:val="24"/>
        </w:rPr>
      </w:pPr>
      <w:r w:rsidRPr="002076AC">
        <w:rPr>
          <w:rFonts w:eastAsiaTheme="minorEastAsia"/>
          <w:sz w:val="24"/>
          <w:szCs w:val="24"/>
        </w:rPr>
        <w:t xml:space="preserve">Dr. Barbara Blozen </w:t>
      </w:r>
    </w:p>
    <w:p w:rsidR="002076AC" w:rsidRPr="002076AC" w:rsidRDefault="002076AC" w:rsidP="002076AC">
      <w:pPr>
        <w:spacing w:after="0" w:line="240" w:lineRule="auto"/>
        <w:rPr>
          <w:rFonts w:eastAsiaTheme="minorEastAsia"/>
          <w:sz w:val="24"/>
          <w:szCs w:val="24"/>
        </w:rPr>
      </w:pPr>
      <w:r w:rsidRPr="002076AC">
        <w:rPr>
          <w:rFonts w:eastAsiaTheme="minorEastAsia"/>
          <w:sz w:val="24"/>
          <w:szCs w:val="24"/>
        </w:rPr>
        <w:t xml:space="preserve">Dr. Hanae Haouari </w:t>
      </w:r>
    </w:p>
    <w:p w:rsidR="002076AC" w:rsidRPr="002076AC" w:rsidRDefault="002076AC" w:rsidP="002076AC">
      <w:pPr>
        <w:spacing w:after="0" w:line="240" w:lineRule="auto"/>
        <w:rPr>
          <w:rFonts w:eastAsiaTheme="minorEastAsia"/>
          <w:sz w:val="24"/>
          <w:szCs w:val="24"/>
        </w:rPr>
      </w:pPr>
      <w:r w:rsidRPr="002076AC">
        <w:rPr>
          <w:rFonts w:eastAsiaTheme="minorEastAsia"/>
          <w:sz w:val="24"/>
          <w:szCs w:val="24"/>
        </w:rPr>
        <w:t xml:space="preserve">Dr. Zhimin Wang </w:t>
      </w:r>
    </w:p>
    <w:p w:rsidR="002076AC" w:rsidRDefault="002076AC" w:rsidP="002076AC">
      <w:pPr>
        <w:spacing w:after="0" w:line="240" w:lineRule="auto"/>
        <w:rPr>
          <w:rFonts w:eastAsiaTheme="minorEastAsia"/>
          <w:sz w:val="24"/>
          <w:szCs w:val="24"/>
        </w:rPr>
      </w:pPr>
      <w:r w:rsidRPr="002076AC">
        <w:rPr>
          <w:rFonts w:eastAsiaTheme="minorEastAsia"/>
          <w:sz w:val="24"/>
          <w:szCs w:val="24"/>
        </w:rPr>
        <w:t xml:space="preserve">Ian Jimenez, Student Rep. </w:t>
      </w:r>
    </w:p>
    <w:p w:rsidR="0032759F" w:rsidRDefault="0032759F" w:rsidP="002076AC">
      <w:pPr>
        <w:spacing w:after="0" w:line="240" w:lineRule="auto"/>
        <w:rPr>
          <w:rFonts w:eastAsiaTheme="minorEastAsia"/>
          <w:sz w:val="24"/>
          <w:szCs w:val="24"/>
        </w:rPr>
      </w:pPr>
    </w:p>
    <w:p w:rsidR="002076AC" w:rsidRPr="002076AC" w:rsidRDefault="002076AC" w:rsidP="002076AC">
      <w:pPr>
        <w:spacing w:after="0" w:line="240" w:lineRule="auto"/>
        <w:rPr>
          <w:rFonts w:ascii="Times New Roman" w:eastAsiaTheme="minorEastAsia" w:hAnsi="Times New Roman" w:cs="Times New Roman"/>
          <w:sz w:val="24"/>
          <w:szCs w:val="24"/>
        </w:rPr>
      </w:pPr>
      <w:r w:rsidRPr="002076AC">
        <w:rPr>
          <w:rFonts w:ascii="Times New Roman" w:eastAsiaTheme="minorEastAsia" w:hAnsi="Times New Roman" w:cs="Times New Roman"/>
          <w:sz w:val="24"/>
          <w:szCs w:val="24"/>
        </w:rPr>
        <w:t xml:space="preserve"> Transfer and residency requirements reduced to 120 credits from 128.</w:t>
      </w:r>
    </w:p>
    <w:p w:rsidR="002076AC" w:rsidRPr="002076AC" w:rsidRDefault="002076AC" w:rsidP="002076AC">
      <w:pPr>
        <w:spacing w:after="0" w:line="240" w:lineRule="auto"/>
        <w:rPr>
          <w:rFonts w:ascii="Times New Roman" w:eastAsiaTheme="minorEastAsia" w:hAnsi="Times New Roman" w:cs="Times New Roman"/>
          <w:sz w:val="24"/>
          <w:szCs w:val="24"/>
        </w:rPr>
      </w:pPr>
    </w:p>
    <w:p w:rsidR="0032759F" w:rsidRDefault="002076AC" w:rsidP="002076AC">
      <w:pPr>
        <w:spacing w:after="0" w:line="240" w:lineRule="auto"/>
        <w:rPr>
          <w:rFonts w:ascii="Times New Roman" w:eastAsia="Times New Roman" w:hAnsi="Times New Roman" w:cs="Times New Roman"/>
          <w:b/>
          <w:color w:val="000000"/>
          <w:sz w:val="24"/>
          <w:szCs w:val="24"/>
        </w:rPr>
      </w:pPr>
      <w:r w:rsidRPr="002076AC">
        <w:rPr>
          <w:rFonts w:ascii="Times New Roman" w:eastAsia="Times New Roman" w:hAnsi="Times New Roman" w:cs="Times New Roman"/>
          <w:b/>
          <w:color w:val="000000"/>
          <w:sz w:val="24"/>
          <w:szCs w:val="24"/>
        </w:rPr>
        <w:t>The committee needed clarification from the provost regarding transfer and residency requirements before reduction in transfer and residency requirements can be made.</w:t>
      </w:r>
    </w:p>
    <w:p w:rsidR="0032759F" w:rsidRDefault="0032759F" w:rsidP="002076AC">
      <w:pPr>
        <w:spacing w:after="0" w:line="240" w:lineRule="auto"/>
        <w:rPr>
          <w:rFonts w:ascii="Times New Roman" w:eastAsia="Times New Roman" w:hAnsi="Times New Roman" w:cs="Times New Roman"/>
          <w:b/>
          <w:color w:val="000000"/>
          <w:sz w:val="24"/>
          <w:szCs w:val="24"/>
        </w:rPr>
      </w:pPr>
    </w:p>
    <w:p w:rsidR="002076AC" w:rsidRDefault="002076AC" w:rsidP="002076AC">
      <w:pPr>
        <w:spacing w:after="0" w:line="240" w:lineRule="auto"/>
        <w:rPr>
          <w:rFonts w:ascii="Times New Roman" w:eastAsia="Times New Roman" w:hAnsi="Times New Roman" w:cs="Times New Roman"/>
          <w:b/>
          <w:color w:val="000000"/>
          <w:sz w:val="24"/>
          <w:szCs w:val="24"/>
        </w:rPr>
      </w:pPr>
      <w:r w:rsidRPr="002076AC">
        <w:rPr>
          <w:rFonts w:ascii="Times New Roman" w:eastAsia="Times New Roman" w:hAnsi="Times New Roman" w:cs="Times New Roman"/>
          <w:b/>
          <w:color w:val="000000"/>
          <w:sz w:val="24"/>
          <w:szCs w:val="24"/>
        </w:rPr>
        <w:t>The following transfer and residency recommendations was approved at the Senate 2/2018</w:t>
      </w:r>
    </w:p>
    <w:p w:rsidR="0032759F" w:rsidRPr="002076AC" w:rsidRDefault="0032759F" w:rsidP="002076AC">
      <w:pPr>
        <w:spacing w:after="0" w:line="240" w:lineRule="auto"/>
        <w:rPr>
          <w:rFonts w:ascii="Times New Roman" w:eastAsia="Times New Roman" w:hAnsi="Times New Roman" w:cs="Times New Roman"/>
          <w:b/>
          <w:color w:val="000000"/>
          <w:sz w:val="24"/>
          <w:szCs w:val="24"/>
        </w:rPr>
      </w:pPr>
    </w:p>
    <w:p w:rsidR="002076AC" w:rsidRPr="002076AC" w:rsidRDefault="002076AC" w:rsidP="002076AC">
      <w:pPr>
        <w:spacing w:after="0" w:line="240" w:lineRule="auto"/>
        <w:rPr>
          <w:rFonts w:eastAsiaTheme="minorEastAsia"/>
          <w:sz w:val="24"/>
          <w:szCs w:val="24"/>
        </w:rPr>
      </w:pPr>
      <w:r w:rsidRPr="002076AC">
        <w:rPr>
          <w:rFonts w:eastAsiaTheme="minorEastAsia"/>
          <w:sz w:val="24"/>
          <w:szCs w:val="24"/>
        </w:rPr>
        <w:t xml:space="preserve">Based on discussions within committee, our recommendations for 2 year, 4 year transfer and NJCU resident students are as follows: </w:t>
      </w:r>
    </w:p>
    <w:p w:rsidR="002076AC" w:rsidRPr="002076AC" w:rsidRDefault="002076AC" w:rsidP="002076AC">
      <w:pPr>
        <w:spacing w:after="0" w:line="240" w:lineRule="auto"/>
        <w:rPr>
          <w:rFonts w:eastAsiaTheme="minorEastAsia"/>
          <w:sz w:val="24"/>
          <w:szCs w:val="24"/>
        </w:rPr>
      </w:pPr>
      <w:r w:rsidRPr="002076AC">
        <w:rPr>
          <w:rFonts w:eastAsiaTheme="minorEastAsia"/>
          <w:sz w:val="24"/>
          <w:szCs w:val="24"/>
        </w:rPr>
        <w:t xml:space="preserve">Transfer and residency requirements reduced to 120 credits from 128. </w:t>
      </w:r>
    </w:p>
    <w:p w:rsidR="002076AC" w:rsidRPr="002076AC" w:rsidRDefault="002076AC" w:rsidP="002076AC">
      <w:pPr>
        <w:spacing w:after="0" w:line="240" w:lineRule="auto"/>
        <w:rPr>
          <w:rFonts w:eastAsiaTheme="minorEastAsia"/>
          <w:sz w:val="24"/>
          <w:szCs w:val="24"/>
        </w:rPr>
      </w:pPr>
      <w:r w:rsidRPr="002076AC">
        <w:rPr>
          <w:rFonts w:eastAsiaTheme="minorEastAsia"/>
          <w:sz w:val="24"/>
          <w:szCs w:val="24"/>
        </w:rPr>
        <w:t xml:space="preserve">1. Transfer Credits from 2 year colleges: Reduce credits to 60 credits from 66 credits; </w:t>
      </w:r>
    </w:p>
    <w:p w:rsidR="002076AC" w:rsidRPr="002076AC" w:rsidRDefault="002076AC" w:rsidP="002076AC">
      <w:pPr>
        <w:spacing w:after="0" w:line="240" w:lineRule="auto"/>
        <w:rPr>
          <w:rFonts w:eastAsiaTheme="minorEastAsia"/>
          <w:sz w:val="24"/>
          <w:szCs w:val="24"/>
        </w:rPr>
      </w:pPr>
      <w:r w:rsidRPr="002076AC">
        <w:rPr>
          <w:rFonts w:eastAsiaTheme="minorEastAsia"/>
          <w:sz w:val="24"/>
          <w:szCs w:val="24"/>
        </w:rPr>
        <w:t xml:space="preserve">2. Transfer Credits from 4 year colleges or CLEP: Reduce to 90 credits from 96 credits; </w:t>
      </w:r>
    </w:p>
    <w:p w:rsidR="002076AC" w:rsidRPr="002076AC" w:rsidRDefault="002076AC" w:rsidP="002076AC">
      <w:pPr>
        <w:spacing w:after="0" w:line="240" w:lineRule="auto"/>
        <w:rPr>
          <w:rFonts w:eastAsiaTheme="minorEastAsia"/>
          <w:sz w:val="24"/>
          <w:szCs w:val="24"/>
        </w:rPr>
      </w:pPr>
      <w:r w:rsidRPr="002076AC">
        <w:rPr>
          <w:rFonts w:eastAsiaTheme="minorEastAsia"/>
          <w:sz w:val="24"/>
          <w:szCs w:val="24"/>
        </w:rPr>
        <w:t xml:space="preserve">3. New Jersey City University residency Credits: Reduce to 30 credits from 32 credits. </w:t>
      </w:r>
    </w:p>
    <w:p w:rsidR="002076AC" w:rsidRPr="002076AC" w:rsidRDefault="002076AC" w:rsidP="002076AC">
      <w:pPr>
        <w:spacing w:after="0" w:line="240" w:lineRule="auto"/>
        <w:rPr>
          <w:rFonts w:eastAsiaTheme="minorEastAsia"/>
          <w:sz w:val="24"/>
          <w:szCs w:val="24"/>
        </w:rPr>
      </w:pPr>
    </w:p>
    <w:p w:rsidR="002076AC" w:rsidRDefault="002076AC" w:rsidP="007239A1">
      <w:pPr>
        <w:spacing w:after="0"/>
        <w:rPr>
          <w:rFonts w:ascii="Times New Roman" w:hAnsi="Times New Roman" w:cs="Times New Roman"/>
          <w:color w:val="000000" w:themeColor="text1"/>
          <w:sz w:val="24"/>
          <w:szCs w:val="24"/>
        </w:rPr>
      </w:pPr>
    </w:p>
    <w:p w:rsidR="00CA00C7" w:rsidRPr="00A10079" w:rsidRDefault="0032759F" w:rsidP="0068462B">
      <w:pPr>
        <w:pStyle w:val="ListParagraph"/>
        <w:numPr>
          <w:ilvl w:val="0"/>
          <w:numId w:val="4"/>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Attached are </w:t>
      </w:r>
      <w:bookmarkStart w:id="0" w:name="_GoBack"/>
      <w:bookmarkEnd w:id="0"/>
      <w:r w:rsidR="00CA00C7" w:rsidRPr="00A10079">
        <w:rPr>
          <w:rFonts w:ascii="Times New Roman" w:eastAsia="Times New Roman" w:hAnsi="Times New Roman" w:cs="Times New Roman"/>
          <w:color w:val="000000" w:themeColor="text1"/>
          <w:sz w:val="24"/>
          <w:szCs w:val="24"/>
        </w:rPr>
        <w:t xml:space="preserve">recommendations by Senate Academic Success Evaluation Task </w:t>
      </w:r>
      <w:proofErr w:type="gramStart"/>
      <w:r w:rsidR="00CA00C7" w:rsidRPr="00A10079">
        <w:rPr>
          <w:rFonts w:ascii="Times New Roman" w:eastAsia="Times New Roman" w:hAnsi="Times New Roman" w:cs="Times New Roman"/>
          <w:color w:val="000000" w:themeColor="text1"/>
          <w:sz w:val="24"/>
          <w:szCs w:val="24"/>
        </w:rPr>
        <w:t>Force  (</w:t>
      </w:r>
      <w:proofErr w:type="gramEnd"/>
      <w:r w:rsidR="00CA00C7" w:rsidRPr="00A10079">
        <w:rPr>
          <w:rFonts w:ascii="Times New Roman" w:eastAsia="Times New Roman" w:hAnsi="Times New Roman" w:cs="Times New Roman"/>
          <w:color w:val="000000" w:themeColor="text1"/>
          <w:sz w:val="24"/>
          <w:szCs w:val="24"/>
        </w:rPr>
        <w:t>Appendix A) and our recommendations (Appendix B) based on that.</w:t>
      </w:r>
    </w:p>
    <w:p w:rsidR="00A10079" w:rsidRDefault="00A10079" w:rsidP="00A10079">
      <w:pPr>
        <w:rPr>
          <w:rFonts w:ascii="Times New Roman" w:eastAsia="Times New Roman" w:hAnsi="Times New Roman" w:cs="Times New Roman"/>
          <w:color w:val="000000" w:themeColor="text1"/>
          <w:sz w:val="24"/>
          <w:szCs w:val="24"/>
        </w:rPr>
        <w:sectPr w:rsidR="00A10079">
          <w:pgSz w:w="12240" w:h="15840"/>
          <w:pgMar w:top="1440" w:right="1440" w:bottom="1440" w:left="1440" w:header="720" w:footer="720" w:gutter="0"/>
          <w:cols w:space="720"/>
          <w:docGrid w:linePitch="360"/>
        </w:sectPr>
      </w:pPr>
    </w:p>
    <w:p w:rsidR="00CA00C7" w:rsidRPr="00A10079" w:rsidRDefault="00CA00C7" w:rsidP="00A10079">
      <w:pPr>
        <w:rPr>
          <w:rFonts w:ascii="Times New Roman" w:eastAsia="Times New Roman" w:hAnsi="Times New Roman" w:cs="Times New Roman"/>
          <w:color w:val="000000" w:themeColor="text1"/>
          <w:sz w:val="24"/>
          <w:szCs w:val="24"/>
        </w:rPr>
      </w:pPr>
    </w:p>
    <w:p w:rsidR="00A10079" w:rsidRPr="00A10079" w:rsidRDefault="00A10079" w:rsidP="00A10079">
      <w:pPr>
        <w:jc w:val="center"/>
        <w:rPr>
          <w:rFonts w:ascii="Times New Roman" w:hAnsi="Times New Roman" w:cs="Times New Roman"/>
          <w:sz w:val="24"/>
          <w:szCs w:val="24"/>
        </w:rPr>
      </w:pPr>
      <w:r w:rsidRPr="00A10079">
        <w:rPr>
          <w:rFonts w:ascii="Times New Roman" w:hAnsi="Times New Roman" w:cs="Times New Roman"/>
          <w:sz w:val="24"/>
          <w:szCs w:val="24"/>
        </w:rPr>
        <w:t>Appendix A</w:t>
      </w:r>
    </w:p>
    <w:p w:rsidR="00A10079" w:rsidRPr="00A10079" w:rsidRDefault="00A10079" w:rsidP="00A10079">
      <w:pPr>
        <w:rPr>
          <w:rFonts w:ascii="Times New Roman" w:hAnsi="Times New Roman" w:cs="Times New Roman"/>
          <w:sz w:val="24"/>
          <w:szCs w:val="24"/>
        </w:rPr>
      </w:pPr>
      <w:r w:rsidRPr="00A10079">
        <w:rPr>
          <w:rFonts w:ascii="Times New Roman" w:hAnsi="Times New Roman" w:cs="Times New Roman"/>
          <w:sz w:val="24"/>
          <w:szCs w:val="24"/>
        </w:rPr>
        <w:t>Senate Academic Success Evaluation Task Force</w:t>
      </w:r>
    </w:p>
    <w:p w:rsidR="00A10079" w:rsidRPr="00A10079" w:rsidRDefault="00A10079" w:rsidP="00A10079">
      <w:pPr>
        <w:rPr>
          <w:rFonts w:ascii="Times New Roman" w:hAnsi="Times New Roman" w:cs="Times New Roman"/>
          <w:sz w:val="24"/>
          <w:szCs w:val="24"/>
        </w:rPr>
      </w:pPr>
      <w:r>
        <w:rPr>
          <w:rFonts w:ascii="Times New Roman" w:hAnsi="Times New Roman" w:cs="Times New Roman"/>
          <w:sz w:val="24"/>
          <w:szCs w:val="24"/>
        </w:rPr>
        <w:t>April 6, 2017</w:t>
      </w:r>
    </w:p>
    <w:p w:rsidR="00A10079" w:rsidRPr="00A10079" w:rsidRDefault="00A10079" w:rsidP="00A10079">
      <w:pPr>
        <w:pStyle w:val="NoSpacing"/>
        <w:rPr>
          <w:rFonts w:ascii="Times New Roman" w:hAnsi="Times New Roman"/>
          <w:sz w:val="24"/>
          <w:szCs w:val="24"/>
        </w:rPr>
      </w:pPr>
      <w:r w:rsidRPr="00A10079">
        <w:rPr>
          <w:rFonts w:ascii="Times New Roman" w:hAnsi="Times New Roman"/>
          <w:sz w:val="24"/>
          <w:szCs w:val="24"/>
        </w:rPr>
        <w:t>Dr. John Bragg (COE rep.)</w:t>
      </w:r>
    </w:p>
    <w:p w:rsidR="00A10079" w:rsidRPr="00A10079" w:rsidRDefault="00A10079" w:rsidP="00A10079">
      <w:pPr>
        <w:pStyle w:val="NoSpacing"/>
        <w:rPr>
          <w:rFonts w:ascii="Times New Roman" w:hAnsi="Times New Roman"/>
          <w:sz w:val="24"/>
          <w:szCs w:val="24"/>
        </w:rPr>
      </w:pPr>
      <w:r w:rsidRPr="00A10079">
        <w:rPr>
          <w:rFonts w:ascii="Times New Roman" w:hAnsi="Times New Roman"/>
          <w:sz w:val="24"/>
          <w:szCs w:val="24"/>
        </w:rPr>
        <w:t>Dr. Lorraine Chewey (CPS rep.)</w:t>
      </w:r>
    </w:p>
    <w:p w:rsidR="00A10079" w:rsidRPr="00A10079" w:rsidRDefault="00A10079" w:rsidP="00A10079">
      <w:pPr>
        <w:pStyle w:val="NoSpacing"/>
        <w:rPr>
          <w:rFonts w:ascii="Times New Roman" w:hAnsi="Times New Roman"/>
          <w:sz w:val="24"/>
          <w:szCs w:val="24"/>
        </w:rPr>
      </w:pPr>
      <w:r w:rsidRPr="00A10079">
        <w:rPr>
          <w:rFonts w:ascii="Times New Roman" w:hAnsi="Times New Roman"/>
          <w:sz w:val="24"/>
          <w:szCs w:val="24"/>
        </w:rPr>
        <w:t>Dr. Rich Zui Chih Lee (SoB rep.)</w:t>
      </w:r>
    </w:p>
    <w:p w:rsidR="00A10079" w:rsidRPr="00A10079" w:rsidRDefault="00A10079" w:rsidP="00A10079">
      <w:pPr>
        <w:pStyle w:val="NoSpacing"/>
        <w:rPr>
          <w:rFonts w:ascii="Times New Roman" w:hAnsi="Times New Roman"/>
          <w:sz w:val="24"/>
          <w:szCs w:val="24"/>
        </w:rPr>
      </w:pPr>
      <w:r w:rsidRPr="00A10079">
        <w:rPr>
          <w:rFonts w:ascii="Times New Roman" w:hAnsi="Times New Roman"/>
          <w:sz w:val="24"/>
          <w:szCs w:val="24"/>
        </w:rPr>
        <w:t>Dr. Joshua Fausty (Gen Ed rep.)</w:t>
      </w:r>
    </w:p>
    <w:p w:rsidR="00A10079" w:rsidRPr="00A10079" w:rsidRDefault="00A10079" w:rsidP="00A10079">
      <w:pPr>
        <w:pStyle w:val="NoSpacing"/>
        <w:rPr>
          <w:rFonts w:ascii="Times New Roman" w:hAnsi="Times New Roman"/>
          <w:sz w:val="24"/>
          <w:szCs w:val="24"/>
        </w:rPr>
      </w:pPr>
      <w:r w:rsidRPr="00A10079">
        <w:rPr>
          <w:rFonts w:ascii="Times New Roman" w:hAnsi="Times New Roman"/>
          <w:sz w:val="24"/>
          <w:szCs w:val="24"/>
        </w:rPr>
        <w:t>Dr. Audrey Fisch (CAS rep.)</w:t>
      </w:r>
    </w:p>
    <w:p w:rsidR="00A10079" w:rsidRPr="00A10079" w:rsidRDefault="00A10079" w:rsidP="00A10079">
      <w:pPr>
        <w:pStyle w:val="NoSpacing"/>
        <w:rPr>
          <w:rFonts w:ascii="Times New Roman" w:hAnsi="Times New Roman"/>
          <w:sz w:val="24"/>
          <w:szCs w:val="24"/>
        </w:rPr>
      </w:pPr>
      <w:r w:rsidRPr="00A10079">
        <w:rPr>
          <w:rFonts w:ascii="Times New Roman" w:hAnsi="Times New Roman"/>
          <w:sz w:val="24"/>
          <w:szCs w:val="24"/>
        </w:rPr>
        <w:t>Dr. Karen Morgan (Administration rep.)</w:t>
      </w:r>
    </w:p>
    <w:p w:rsidR="00A10079" w:rsidRPr="00A10079" w:rsidRDefault="00A10079" w:rsidP="00A10079">
      <w:pPr>
        <w:rPr>
          <w:rFonts w:ascii="Times New Roman" w:hAnsi="Times New Roman" w:cs="Times New Roman"/>
          <w:sz w:val="24"/>
          <w:szCs w:val="24"/>
        </w:rPr>
      </w:pPr>
    </w:p>
    <w:p w:rsidR="00A10079" w:rsidRPr="00A10079" w:rsidRDefault="00A10079" w:rsidP="00A10079">
      <w:pPr>
        <w:rPr>
          <w:rFonts w:ascii="Times New Roman" w:hAnsi="Times New Roman" w:cs="Times New Roman"/>
          <w:sz w:val="24"/>
          <w:szCs w:val="24"/>
        </w:rPr>
      </w:pPr>
      <w:r w:rsidRPr="00A10079">
        <w:rPr>
          <w:rFonts w:ascii="Times New Roman" w:hAnsi="Times New Roman" w:cs="Times New Roman"/>
          <w:sz w:val="24"/>
          <w:szCs w:val="24"/>
        </w:rPr>
        <w:t xml:space="preserve">Recommendations </w:t>
      </w:r>
    </w:p>
    <w:p w:rsidR="00A10079" w:rsidRPr="00A10079" w:rsidRDefault="00A10079" w:rsidP="00A10079">
      <w:pPr>
        <w:pStyle w:val="ListParagraph"/>
        <w:numPr>
          <w:ilvl w:val="0"/>
          <w:numId w:val="6"/>
        </w:numPr>
        <w:spacing w:after="0" w:line="240" w:lineRule="auto"/>
        <w:rPr>
          <w:rFonts w:ascii="Times New Roman" w:hAnsi="Times New Roman" w:cs="Times New Roman"/>
          <w:sz w:val="24"/>
          <w:szCs w:val="24"/>
        </w:rPr>
      </w:pPr>
      <w:r w:rsidRPr="00A10079">
        <w:rPr>
          <w:rFonts w:ascii="Times New Roman" w:hAnsi="Times New Roman" w:cs="Times New Roman"/>
          <w:sz w:val="24"/>
          <w:szCs w:val="24"/>
        </w:rPr>
        <w:t>We recommend that faculty be given the choice of using P/F or grades for midterm grades. However this is just one small piece of academic success and not an indicator that is early enough, reliable enough, or specific enough. It doesn’t provide enough information to help students or support services help students.</w:t>
      </w:r>
    </w:p>
    <w:p w:rsidR="00A10079" w:rsidRPr="00A10079" w:rsidRDefault="00A10079" w:rsidP="00A10079">
      <w:pPr>
        <w:pStyle w:val="ListParagraph"/>
        <w:numPr>
          <w:ilvl w:val="0"/>
          <w:numId w:val="6"/>
        </w:numPr>
        <w:spacing w:after="0" w:line="240" w:lineRule="auto"/>
        <w:rPr>
          <w:rFonts w:ascii="Times New Roman" w:hAnsi="Times New Roman" w:cs="Times New Roman"/>
          <w:sz w:val="24"/>
          <w:szCs w:val="24"/>
        </w:rPr>
      </w:pPr>
      <w:r w:rsidRPr="00A10079">
        <w:rPr>
          <w:rFonts w:ascii="Times New Roman" w:hAnsi="Times New Roman" w:cs="Times New Roman"/>
          <w:sz w:val="24"/>
          <w:szCs w:val="24"/>
        </w:rPr>
        <w:t>We recommend that resources be put into achieving faculty buy-in for early, substantive, meaningful, detailed student progress reporting.</w:t>
      </w:r>
    </w:p>
    <w:p w:rsidR="00A10079" w:rsidRPr="00A10079" w:rsidRDefault="00A10079" w:rsidP="00A10079">
      <w:pPr>
        <w:pStyle w:val="ListParagraph"/>
        <w:numPr>
          <w:ilvl w:val="0"/>
          <w:numId w:val="6"/>
        </w:numP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Faculty need to know that if they make reports, there are clear guidelines and expectations for follow-up. </w:t>
      </w:r>
    </w:p>
    <w:p w:rsidR="00A10079" w:rsidRPr="00A10079" w:rsidRDefault="00A10079" w:rsidP="00A10079">
      <w:pPr>
        <w:pStyle w:val="ListParagraph"/>
        <w:numPr>
          <w:ilvl w:val="0"/>
          <w:numId w:val="6"/>
        </w:numP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The EAB Alert function provides the following useful drop-down options: a) needs tutoring; b) absences; c) tardiness; d) missing assignments; e) writing support. There is a comment field. We recommend that the Alert function include the following additional drop-down options: a) early signs of substandard work; b) persistent sub-standard work (despite feedback/intervention); c) time management; d) non-academic challenges-financial; e) non-academic challenges-non-financial; f) academic disposition (beliefs and attitudes about participation in academic community); g) college readiness skills and techniques (goal-setting, persistence, self-awareness, motivation, tenacity); h) technology skills; </w:t>
      </w:r>
      <w:proofErr w:type="spellStart"/>
      <w:r w:rsidRPr="00A10079">
        <w:rPr>
          <w:rFonts w:ascii="Times New Roman" w:hAnsi="Times New Roman" w:cs="Times New Roman"/>
          <w:sz w:val="24"/>
          <w:szCs w:val="24"/>
        </w:rPr>
        <w:t>i</w:t>
      </w:r>
      <w:proofErr w:type="spellEnd"/>
      <w:r w:rsidRPr="00A10079">
        <w:rPr>
          <w:rFonts w:ascii="Times New Roman" w:hAnsi="Times New Roman" w:cs="Times New Roman"/>
          <w:sz w:val="24"/>
          <w:szCs w:val="24"/>
        </w:rPr>
        <w:t>) academic integrity; j) making satisfactory progress.</w:t>
      </w:r>
    </w:p>
    <w:p w:rsidR="00A10079" w:rsidRPr="00A10079" w:rsidRDefault="00A10079" w:rsidP="00A10079">
      <w:pPr>
        <w:pStyle w:val="ListParagraph"/>
        <w:numPr>
          <w:ilvl w:val="0"/>
          <w:numId w:val="6"/>
        </w:numPr>
        <w:spacing w:after="0" w:line="240" w:lineRule="auto"/>
        <w:rPr>
          <w:rFonts w:ascii="Times New Roman" w:hAnsi="Times New Roman" w:cs="Times New Roman"/>
          <w:sz w:val="24"/>
          <w:szCs w:val="24"/>
        </w:rPr>
      </w:pPr>
      <w:r w:rsidRPr="00A10079">
        <w:rPr>
          <w:rFonts w:ascii="Times New Roman" w:hAnsi="Times New Roman" w:cs="Times New Roman"/>
          <w:sz w:val="24"/>
          <w:szCs w:val="24"/>
        </w:rPr>
        <w:t>There seems to be no functioning system for accurate assignment of students to advisors within the majors in EAB or across the University. This impedes student success.</w:t>
      </w:r>
    </w:p>
    <w:p w:rsidR="00A10079" w:rsidRPr="00A10079" w:rsidRDefault="00A10079" w:rsidP="00A10079">
      <w:pPr>
        <w:pStyle w:val="ListParagraph"/>
        <w:numPr>
          <w:ilvl w:val="0"/>
          <w:numId w:val="6"/>
        </w:numP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Faculty will use these alerts at the 4-5 week mark and the 8-9 week mark. The system will be available throughout the semester if the need for intervention arises. </w:t>
      </w:r>
    </w:p>
    <w:p w:rsidR="00A10079" w:rsidRPr="00A10079" w:rsidRDefault="00A10079" w:rsidP="00A10079">
      <w:pPr>
        <w:pStyle w:val="ListParagraph"/>
        <w:numPr>
          <w:ilvl w:val="0"/>
          <w:numId w:val="6"/>
        </w:numP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The Alert system will not be implemented until a high-quality response protocol has been designed and institutionalized with faculty input. For example, alerts about non-academic challenges should be addressed within 48 hours. The method of response, the person or people responsible, and the timeliness of the response need to be addressed. </w:t>
      </w:r>
    </w:p>
    <w:p w:rsidR="00A10079" w:rsidRPr="00A10079" w:rsidRDefault="00A10079" w:rsidP="00A10079">
      <w:pPr>
        <w:pStyle w:val="ListParagraph"/>
        <w:numPr>
          <w:ilvl w:val="0"/>
          <w:numId w:val="6"/>
        </w:numP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We recommend a peer leadership and mentoring component.  </w:t>
      </w:r>
    </w:p>
    <w:p w:rsidR="00A10079" w:rsidRPr="00A10079" w:rsidRDefault="00A10079" w:rsidP="00CA00C7">
      <w:pPr>
        <w:jc w:val="center"/>
        <w:rPr>
          <w:rFonts w:ascii="Times New Roman" w:eastAsia="Times New Roman" w:hAnsi="Times New Roman" w:cs="Times New Roman"/>
          <w:color w:val="000000" w:themeColor="text1"/>
          <w:sz w:val="24"/>
          <w:szCs w:val="24"/>
        </w:rPr>
        <w:sectPr w:rsidR="00A10079" w:rsidRPr="00A10079">
          <w:pgSz w:w="12240" w:h="15840"/>
          <w:pgMar w:top="1440" w:right="1440" w:bottom="1440" w:left="1440" w:header="720" w:footer="720" w:gutter="0"/>
          <w:cols w:space="720"/>
          <w:docGrid w:linePitch="360"/>
        </w:sectPr>
      </w:pPr>
    </w:p>
    <w:p w:rsidR="00CA00C7" w:rsidRPr="00A10079" w:rsidRDefault="00CA00C7" w:rsidP="00CA00C7">
      <w:pPr>
        <w:jc w:val="center"/>
        <w:rPr>
          <w:rFonts w:ascii="Times New Roman" w:eastAsia="Times New Roman" w:hAnsi="Times New Roman" w:cs="Times New Roman"/>
          <w:color w:val="000000" w:themeColor="text1"/>
          <w:sz w:val="24"/>
          <w:szCs w:val="24"/>
        </w:rPr>
      </w:pPr>
      <w:r w:rsidRPr="00A10079">
        <w:rPr>
          <w:rFonts w:ascii="Times New Roman" w:eastAsia="Times New Roman" w:hAnsi="Times New Roman" w:cs="Times New Roman"/>
          <w:color w:val="000000" w:themeColor="text1"/>
          <w:sz w:val="24"/>
          <w:szCs w:val="24"/>
        </w:rPr>
        <w:lastRenderedPageBreak/>
        <w:t>Appendix B</w:t>
      </w:r>
    </w:p>
    <w:p w:rsidR="00CA00C7" w:rsidRPr="00A10079" w:rsidRDefault="00CA00C7" w:rsidP="00CA00C7">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We recommend that faculty be given the choice of using P/F or grades for midterm grades. </w:t>
      </w:r>
    </w:p>
    <w:p w:rsidR="00CA00C7" w:rsidRPr="00A10079" w:rsidRDefault="00CA00C7" w:rsidP="00CA00C7">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We recommend a functioning system for accurate assignment of students to advisors within the majors in EAB or across the University. </w:t>
      </w:r>
    </w:p>
    <w:p w:rsidR="00CA00C7" w:rsidRPr="00A10079" w:rsidRDefault="00CA00C7" w:rsidP="00CA00C7">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A10079">
        <w:rPr>
          <w:rFonts w:ascii="Times New Roman" w:hAnsi="Times New Roman" w:cs="Times New Roman"/>
          <w:sz w:val="24"/>
          <w:szCs w:val="24"/>
        </w:rPr>
        <w:t>We recommend that resources be made available to faculty to support their ability to provide early, substantive, meaningful and detailed student progress reporting.</w:t>
      </w:r>
    </w:p>
    <w:p w:rsidR="00CA00C7" w:rsidRPr="00A10079" w:rsidRDefault="00CA00C7" w:rsidP="00CA00C7">
      <w:pPr>
        <w:pStyle w:val="ListParagraph"/>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Faculty should provide specific progress report by utilizing EAB alert functions more efficiently. Currently the EAB Alert function provides the following useful drop-down options: a) needs tutoring; b) absences; c) tardiness; d) missing assignments; e) writing support. There is a comment field. We recommend that the Alert function include the following additional drop-down options: a) early signs of substandard work; b) persistent sub-standard work (despite feedback/intervention); c) time management; d) non-academic challenges-financial; e) non-academic challenges-non-financial; f) academic disposition (beliefs and attitudes about participation in academic community); g) college readiness skills and techniques (goal-setting, persistence, self-awareness, motivation, tenacity); h) technology skills; </w:t>
      </w:r>
      <w:proofErr w:type="spellStart"/>
      <w:r w:rsidRPr="00A10079">
        <w:rPr>
          <w:rFonts w:ascii="Times New Roman" w:hAnsi="Times New Roman" w:cs="Times New Roman"/>
          <w:sz w:val="24"/>
          <w:szCs w:val="24"/>
        </w:rPr>
        <w:t>i</w:t>
      </w:r>
      <w:proofErr w:type="spellEnd"/>
      <w:r w:rsidRPr="00A10079">
        <w:rPr>
          <w:rFonts w:ascii="Times New Roman" w:hAnsi="Times New Roman" w:cs="Times New Roman"/>
          <w:sz w:val="24"/>
          <w:szCs w:val="24"/>
        </w:rPr>
        <w:t>) academic integrity; j) making satisfactory progress. K) Ineligible to be enrolled: missing pre-requisite</w:t>
      </w:r>
    </w:p>
    <w:p w:rsidR="00CA00C7" w:rsidRPr="00A10079" w:rsidRDefault="00CA00C7" w:rsidP="00CA00C7">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Faculty will use these alerts at the 4-5 week mark and the 8-9 week mark. The system will be available throughout the semester if the need for intervention arises. </w:t>
      </w:r>
    </w:p>
    <w:p w:rsidR="00CA00C7" w:rsidRPr="00A10079" w:rsidRDefault="00CA00C7" w:rsidP="00CA00C7">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The alert system will not be implemented until a high-quality response protocol has been designed and institutionalized with faculty input. For example, alerts about non-academic challenges should be addressed within 48 hours. The method of response, the person or people responsible, and the timeliness of the response need to be addressed.  </w:t>
      </w:r>
    </w:p>
    <w:p w:rsidR="00CA00C7" w:rsidRPr="00A10079" w:rsidRDefault="00CA00C7" w:rsidP="00CA00C7">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A10079">
        <w:rPr>
          <w:rFonts w:ascii="Times New Roman" w:hAnsi="Times New Roman" w:cs="Times New Roman"/>
          <w:sz w:val="24"/>
          <w:szCs w:val="24"/>
        </w:rPr>
        <w:t xml:space="preserve">We recommend a peer leadership and mentoring component for students to support overall student success.  Students selected for peer-leadership and mentoring should be trained and should follow selection criteria. </w:t>
      </w:r>
    </w:p>
    <w:p w:rsidR="00CA00C7" w:rsidRPr="00A10079" w:rsidRDefault="00CA00C7" w:rsidP="00CA00C7">
      <w:pPr>
        <w:ind w:left="720"/>
        <w:rPr>
          <w:rFonts w:ascii="Times New Roman" w:hAnsi="Times New Roman" w:cs="Times New Roman"/>
          <w:sz w:val="24"/>
          <w:szCs w:val="24"/>
        </w:rPr>
      </w:pPr>
    </w:p>
    <w:p w:rsidR="007239A1" w:rsidRPr="00A10079" w:rsidRDefault="007239A1" w:rsidP="007239A1">
      <w:pPr>
        <w:spacing w:after="0"/>
        <w:rPr>
          <w:rFonts w:ascii="Times New Roman" w:hAnsi="Times New Roman" w:cs="Times New Roman"/>
          <w:color w:val="000000" w:themeColor="text1"/>
          <w:sz w:val="24"/>
          <w:szCs w:val="24"/>
        </w:rPr>
      </w:pPr>
    </w:p>
    <w:sectPr w:rsidR="007239A1" w:rsidRPr="00A10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92365"/>
    <w:multiLevelType w:val="hybridMultilevel"/>
    <w:tmpl w:val="41DA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E7276"/>
    <w:multiLevelType w:val="multilevel"/>
    <w:tmpl w:val="CB4E21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8D06DE4"/>
    <w:multiLevelType w:val="hybridMultilevel"/>
    <w:tmpl w:val="96DAD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FE3DE1"/>
    <w:multiLevelType w:val="hybridMultilevel"/>
    <w:tmpl w:val="5304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556837"/>
    <w:multiLevelType w:val="hybridMultilevel"/>
    <w:tmpl w:val="7552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46B56"/>
    <w:multiLevelType w:val="hybridMultilevel"/>
    <w:tmpl w:val="2E0A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A1"/>
    <w:rsid w:val="00017A69"/>
    <w:rsid w:val="001205DE"/>
    <w:rsid w:val="00192FCC"/>
    <w:rsid w:val="001C4552"/>
    <w:rsid w:val="001E6AD6"/>
    <w:rsid w:val="002076AC"/>
    <w:rsid w:val="002A27A6"/>
    <w:rsid w:val="0032759F"/>
    <w:rsid w:val="004926BA"/>
    <w:rsid w:val="004B6783"/>
    <w:rsid w:val="00510C22"/>
    <w:rsid w:val="00623CA2"/>
    <w:rsid w:val="0068462B"/>
    <w:rsid w:val="007239A1"/>
    <w:rsid w:val="007322A5"/>
    <w:rsid w:val="00746E91"/>
    <w:rsid w:val="008858EA"/>
    <w:rsid w:val="00A10079"/>
    <w:rsid w:val="00A607D2"/>
    <w:rsid w:val="00B0463C"/>
    <w:rsid w:val="00B770A3"/>
    <w:rsid w:val="00CA00C7"/>
    <w:rsid w:val="00D34379"/>
    <w:rsid w:val="00D5373B"/>
    <w:rsid w:val="00D56E05"/>
    <w:rsid w:val="00F91203"/>
    <w:rsid w:val="00FC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1F3B35E-900A-4889-A059-549E76F5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7D2"/>
    <w:pPr>
      <w:ind w:left="720"/>
      <w:contextualSpacing/>
    </w:pPr>
  </w:style>
  <w:style w:type="paragraph" w:styleId="BalloonText">
    <w:name w:val="Balloon Text"/>
    <w:basedOn w:val="Normal"/>
    <w:link w:val="BalloonTextChar"/>
    <w:uiPriority w:val="99"/>
    <w:semiHidden/>
    <w:unhideWhenUsed/>
    <w:rsid w:val="00B770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0A3"/>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CA00C7"/>
    <w:pPr>
      <w:pBdr>
        <w:top w:val="nil"/>
        <w:left w:val="nil"/>
        <w:bottom w:val="nil"/>
        <w:right w:val="nil"/>
        <w:between w:val="nil"/>
      </w:pBdr>
      <w:spacing w:after="0" w:line="240" w:lineRule="auto"/>
    </w:pPr>
    <w:rPr>
      <w:rFonts w:ascii="Garamond" w:eastAsia="Garamond" w:hAnsi="Garamond" w:cs="Garamond"/>
      <w:color w:val="000000"/>
      <w:sz w:val="20"/>
      <w:szCs w:val="20"/>
    </w:rPr>
  </w:style>
  <w:style w:type="character" w:customStyle="1" w:styleId="CommentTextChar">
    <w:name w:val="Comment Text Char"/>
    <w:basedOn w:val="DefaultParagraphFont"/>
    <w:link w:val="CommentText"/>
    <w:uiPriority w:val="99"/>
    <w:semiHidden/>
    <w:rsid w:val="00CA00C7"/>
    <w:rPr>
      <w:rFonts w:ascii="Garamond" w:eastAsia="Garamond" w:hAnsi="Garamond" w:cs="Garamond"/>
      <w:color w:val="000000"/>
      <w:sz w:val="20"/>
      <w:szCs w:val="20"/>
    </w:rPr>
  </w:style>
  <w:style w:type="character" w:styleId="CommentReference">
    <w:name w:val="annotation reference"/>
    <w:basedOn w:val="DefaultParagraphFont"/>
    <w:uiPriority w:val="99"/>
    <w:semiHidden/>
    <w:unhideWhenUsed/>
    <w:rsid w:val="00CA00C7"/>
    <w:rPr>
      <w:sz w:val="16"/>
      <w:szCs w:val="16"/>
    </w:rPr>
  </w:style>
  <w:style w:type="paragraph" w:styleId="NoSpacing">
    <w:name w:val="No Spacing"/>
    <w:basedOn w:val="Normal"/>
    <w:uiPriority w:val="1"/>
    <w:qFormat/>
    <w:rsid w:val="00A10079"/>
    <w:pPr>
      <w:spacing w:after="0" w:line="240" w:lineRule="auto"/>
    </w:pPr>
    <w:rPr>
      <w:rFonts w:ascii="Calibri" w:eastAsia="Cambr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5665">
      <w:bodyDiv w:val="1"/>
      <w:marLeft w:val="0"/>
      <w:marRight w:val="0"/>
      <w:marTop w:val="0"/>
      <w:marBottom w:val="0"/>
      <w:divBdr>
        <w:top w:val="none" w:sz="0" w:space="0" w:color="auto"/>
        <w:left w:val="none" w:sz="0" w:space="0" w:color="auto"/>
        <w:bottom w:val="none" w:sz="0" w:space="0" w:color="auto"/>
        <w:right w:val="none" w:sz="0" w:space="0" w:color="auto"/>
      </w:divBdr>
      <w:divsChild>
        <w:div w:id="1233587438">
          <w:marLeft w:val="0"/>
          <w:marRight w:val="0"/>
          <w:marTop w:val="0"/>
          <w:marBottom w:val="0"/>
          <w:divBdr>
            <w:top w:val="none" w:sz="0" w:space="0" w:color="auto"/>
            <w:left w:val="none" w:sz="0" w:space="0" w:color="auto"/>
            <w:bottom w:val="none" w:sz="0" w:space="0" w:color="auto"/>
            <w:right w:val="none" w:sz="0" w:space="0" w:color="auto"/>
          </w:divBdr>
        </w:div>
        <w:div w:id="2139839271">
          <w:marLeft w:val="0"/>
          <w:marRight w:val="0"/>
          <w:marTop w:val="0"/>
          <w:marBottom w:val="0"/>
          <w:divBdr>
            <w:top w:val="none" w:sz="0" w:space="0" w:color="auto"/>
            <w:left w:val="none" w:sz="0" w:space="0" w:color="auto"/>
            <w:bottom w:val="none" w:sz="0" w:space="0" w:color="auto"/>
            <w:right w:val="none" w:sz="0" w:space="0" w:color="auto"/>
          </w:divBdr>
        </w:div>
      </w:divsChild>
    </w:div>
    <w:div w:id="738555733">
      <w:bodyDiv w:val="1"/>
      <w:marLeft w:val="0"/>
      <w:marRight w:val="0"/>
      <w:marTop w:val="0"/>
      <w:marBottom w:val="0"/>
      <w:divBdr>
        <w:top w:val="none" w:sz="0" w:space="0" w:color="auto"/>
        <w:left w:val="none" w:sz="0" w:space="0" w:color="auto"/>
        <w:bottom w:val="none" w:sz="0" w:space="0" w:color="auto"/>
        <w:right w:val="none" w:sz="0" w:space="0" w:color="auto"/>
      </w:divBdr>
    </w:div>
    <w:div w:id="1392850440">
      <w:bodyDiv w:val="1"/>
      <w:marLeft w:val="0"/>
      <w:marRight w:val="0"/>
      <w:marTop w:val="0"/>
      <w:marBottom w:val="0"/>
      <w:divBdr>
        <w:top w:val="none" w:sz="0" w:space="0" w:color="auto"/>
        <w:left w:val="none" w:sz="0" w:space="0" w:color="auto"/>
        <w:bottom w:val="none" w:sz="0" w:space="0" w:color="auto"/>
        <w:right w:val="none" w:sz="0" w:space="0" w:color="auto"/>
      </w:divBdr>
    </w:div>
    <w:div w:id="1878930363">
      <w:bodyDiv w:val="1"/>
      <w:marLeft w:val="0"/>
      <w:marRight w:val="0"/>
      <w:marTop w:val="0"/>
      <w:marBottom w:val="0"/>
      <w:divBdr>
        <w:top w:val="none" w:sz="0" w:space="0" w:color="auto"/>
        <w:left w:val="none" w:sz="0" w:space="0" w:color="auto"/>
        <w:bottom w:val="none" w:sz="0" w:space="0" w:color="auto"/>
        <w:right w:val="none" w:sz="0" w:space="0" w:color="auto"/>
      </w:divBdr>
    </w:div>
    <w:div w:id="20714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9509-B94D-4308-9A2D-8D923CF9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Herman</dc:creator>
  <cp:keywords/>
  <dc:description/>
  <cp:lastModifiedBy>Donna Piscopo</cp:lastModifiedBy>
  <cp:revision>3</cp:revision>
  <dcterms:created xsi:type="dcterms:W3CDTF">2018-05-18T12:13:00Z</dcterms:created>
  <dcterms:modified xsi:type="dcterms:W3CDTF">2019-03-01T18:58:00Z</dcterms:modified>
</cp:coreProperties>
</file>